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/>
          <w:b/>
          <w:b/>
          <w:color w:val="000000"/>
          <w:sz w:val="23"/>
          <w:lang w:val="pl-PL"/>
        </w:rPr>
      </w:pPr>
      <w:bookmarkStart w:id="0" w:name="_GoBack"/>
      <w:bookmarkEnd w:id="0"/>
      <w:r>
        <w:rPr>
          <w:rFonts w:ascii="Tahoma" w:hAnsi="Tahoma"/>
          <w:b/>
          <w:color w:val="000000"/>
          <w:sz w:val="23"/>
          <w:lang w:val="pl-PL"/>
        </w:rPr>
        <w:tab/>
        <w:tab/>
        <w:tab/>
        <w:tab/>
        <w:tab/>
        <w:tab/>
        <w:tab/>
        <w:tab/>
        <w:tab/>
        <w:tab/>
        <w:tab/>
        <w:t xml:space="preserve">Załącznik nr 1 </w:t>
      </w:r>
    </w:p>
    <w:p>
      <w:pPr>
        <w:pStyle w:val="Normal"/>
        <w:spacing w:lineRule="auto" w:line="360"/>
        <w:rPr>
          <w:rFonts w:ascii="Tahoma" w:hAnsi="Tahoma"/>
          <w:b/>
          <w:b/>
          <w:color w:val="000000"/>
          <w:sz w:val="23"/>
          <w:lang w:val="pl-PL"/>
        </w:rPr>
      </w:pPr>
      <w:r>
        <w:rPr>
          <w:rFonts w:ascii="Tahoma" w:hAnsi="Tahoma"/>
          <w:b/>
          <w:color w:val="000000"/>
          <w:sz w:val="23"/>
          <w:lang w:val="pl-PL"/>
        </w:rPr>
        <w:t xml:space="preserve">REGULAMIN </w:t>
        <w:br/>
      </w:r>
      <w:r>
        <w:rPr>
          <w:rFonts w:ascii="Tahoma" w:hAnsi="Tahoma"/>
          <w:b/>
          <w:color w:val="000000"/>
          <w:spacing w:val="4"/>
          <w:sz w:val="23"/>
          <w:lang w:val="pl-PL"/>
        </w:rPr>
        <w:t>PRZETARGU USTNEGO NA SPRZEDAŻ NIERUCHOMOŚCI-DZIAŁKI NR 19/2 ;  19/10 SANNIKI</w:t>
      </w:r>
    </w:p>
    <w:p>
      <w:pPr>
        <w:pStyle w:val="Normal"/>
        <w:spacing w:before="720" w:after="0"/>
        <w:rPr>
          <w:rFonts w:ascii="Tahoma" w:hAnsi="Tahoma"/>
          <w:b/>
          <w:b/>
          <w:color w:val="000000"/>
          <w:spacing w:val="6"/>
          <w:sz w:val="19"/>
          <w:lang w:val="pl-PL"/>
        </w:rPr>
      </w:pPr>
      <w:r>
        <w:rPr>
          <w:rFonts w:ascii="Tahoma" w:hAnsi="Tahoma"/>
          <w:b/>
          <w:color w:val="000000"/>
          <w:spacing w:val="6"/>
          <w:sz w:val="19"/>
          <w:lang w:val="pl-PL"/>
        </w:rPr>
        <w:t>WIADOMOŚCI OGÓLNE</w:t>
      </w:r>
    </w:p>
    <w:p>
      <w:pPr>
        <w:pStyle w:val="Normal"/>
        <w:spacing w:before="504" w:after="0"/>
        <w:ind w:left="4032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§1</w:t>
      </w:r>
    </w:p>
    <w:p>
      <w:pPr>
        <w:pStyle w:val="Normal"/>
        <w:numPr>
          <w:ilvl w:val="0"/>
          <w:numId w:val="1"/>
        </w:numPr>
        <w:tabs>
          <w:tab w:val="clear" w:pos="708"/>
          <w:tab w:val="decimal" w:pos="432" w:leader="none"/>
        </w:tabs>
        <w:spacing w:lineRule="auto" w:line="360" w:before="144" w:after="0"/>
        <w:ind w:left="432" w:hanging="360"/>
        <w:rPr>
          <w:rFonts w:ascii="Verdana" w:hAnsi="Verdana"/>
          <w:color w:val="000000"/>
          <w:spacing w:val="-11"/>
          <w:sz w:val="19"/>
          <w:lang w:val="pl-PL"/>
        </w:rPr>
      </w:pPr>
      <w:r>
        <w:rPr>
          <w:rFonts w:ascii="Verdana" w:hAnsi="Verdana"/>
          <w:color w:val="000000"/>
          <w:spacing w:val="-11"/>
          <w:sz w:val="19"/>
          <w:lang w:val="pl-PL"/>
        </w:rPr>
        <w:t xml:space="preserve">Niniejszy Regulamin określa zasady przeprowadzenia przetargu ustnego na </w:t>
      </w:r>
      <w:r>
        <w:rPr>
          <w:rFonts w:ascii="Verdana" w:hAnsi="Verdana"/>
          <w:color w:val="000000"/>
          <w:spacing w:val="-8"/>
          <w:sz w:val="19"/>
          <w:lang w:val="pl-PL"/>
        </w:rPr>
        <w:t>sprzedaż nieruchomości określonych w § 2.</w:t>
      </w:r>
    </w:p>
    <w:p>
      <w:pPr>
        <w:pStyle w:val="Normal"/>
        <w:numPr>
          <w:ilvl w:val="0"/>
          <w:numId w:val="1"/>
        </w:numPr>
        <w:tabs>
          <w:tab w:val="clear" w:pos="708"/>
          <w:tab w:val="decimal" w:pos="432" w:leader="none"/>
        </w:tabs>
        <w:spacing w:lineRule="auto" w:line="360" w:before="72" w:after="0"/>
        <w:ind w:left="432" w:hanging="360"/>
        <w:rPr>
          <w:rFonts w:ascii="Verdana" w:hAnsi="Verdana"/>
          <w:color w:val="000000"/>
          <w:spacing w:val="-2"/>
          <w:sz w:val="19"/>
          <w:lang w:val="pl-PL"/>
        </w:rPr>
      </w:pPr>
      <w:r>
        <w:rPr>
          <w:rFonts w:ascii="Verdana" w:hAnsi="Verdana"/>
          <w:color w:val="000000"/>
          <w:spacing w:val="-2"/>
          <w:sz w:val="19"/>
          <w:lang w:val="pl-PL"/>
        </w:rPr>
        <w:t xml:space="preserve">Przetarg ogłasza, organizuje i przeprowadza Stadnina Koni „Iwno" sp. z o.o., zwana dalej </w:t>
      </w:r>
      <w:r>
        <w:rPr>
          <w:rFonts w:ascii="Verdana" w:hAnsi="Verdana"/>
          <w:color w:val="000000"/>
          <w:spacing w:val="-10"/>
          <w:sz w:val="19"/>
          <w:lang w:val="pl-PL"/>
        </w:rPr>
        <w:t>„Organizatorem".</w:t>
      </w:r>
    </w:p>
    <w:p>
      <w:pPr>
        <w:pStyle w:val="Normal"/>
        <w:spacing w:before="324" w:after="0"/>
        <w:ind w:left="4032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§2</w:t>
      </w:r>
    </w:p>
    <w:p>
      <w:pPr>
        <w:pStyle w:val="Normal"/>
        <w:spacing w:before="144" w:after="0"/>
        <w:rPr>
          <w:rFonts w:ascii="Verdana" w:hAnsi="Verdana"/>
          <w:color w:val="000000"/>
          <w:spacing w:val="-7"/>
          <w:sz w:val="19"/>
          <w:lang w:val="pl-PL"/>
        </w:rPr>
      </w:pPr>
      <w:r>
        <w:rPr>
          <w:rFonts w:ascii="Verdana" w:hAnsi="Verdana"/>
          <w:color w:val="000000"/>
          <w:spacing w:val="-7"/>
          <w:sz w:val="19"/>
          <w:lang w:val="pl-PL"/>
        </w:rPr>
        <w:t>1. Przedmiotem przetargu jest sprzedaż następujących nieruchomości:</w:t>
      </w:r>
    </w:p>
    <w:p>
      <w:pPr>
        <w:pStyle w:val="Normal"/>
        <w:spacing w:lineRule="auto" w:line="360" w:before="144" w:after="0"/>
        <w:rPr>
          <w:rFonts w:ascii="Verdana" w:hAnsi="Verdana"/>
          <w:color w:val="000000"/>
          <w:spacing w:val="-7"/>
          <w:sz w:val="19"/>
          <w:lang w:val="pl-PL"/>
        </w:rPr>
      </w:pPr>
      <w:r>
        <w:rPr>
          <w:rFonts w:ascii="Verdana" w:hAnsi="Verdana"/>
          <w:color w:val="000000"/>
          <w:spacing w:val="-7"/>
          <w:sz w:val="19"/>
          <w:lang w:val="pl-PL"/>
        </w:rPr>
      </w:r>
    </w:p>
    <w:p>
      <w:pPr>
        <w:pStyle w:val="Normal"/>
        <w:spacing w:lineRule="auto" w:line="360"/>
        <w:ind w:left="360" w:hanging="360"/>
        <w:jc w:val="both"/>
        <w:rPr>
          <w:rFonts w:ascii="Verdana" w:hAnsi="Verdana" w:cs="Verdana"/>
          <w:b/>
          <w:b/>
          <w:u w:val="single"/>
          <w:lang w:val="pl-PL"/>
        </w:rPr>
      </w:pPr>
      <w:r>
        <w:rPr>
          <w:rFonts w:cs="Verdana" w:ascii="Verdana" w:hAnsi="Verdana"/>
          <w:sz w:val="18"/>
          <w:szCs w:val="18"/>
          <w:lang w:val="pl-PL"/>
        </w:rPr>
        <w:t xml:space="preserve">      </w:t>
      </w:r>
      <w:r>
        <w:rPr>
          <w:rFonts w:cs="Verdana" w:ascii="Verdana" w:hAnsi="Verdana"/>
          <w:sz w:val="18"/>
          <w:szCs w:val="18"/>
          <w:lang w:val="pl-PL"/>
        </w:rPr>
        <w:t>Nieruchomość niezabudowana SKLASYFIKOWANA JAKO TERENY USŁUG KOMERCYJNYCH położona w obrębie SANNIKI, gmina Kostrzyn, oznaczona w ewidencji gruntów jako działka nr:</w:t>
      </w:r>
      <w:r>
        <w:rPr>
          <w:rFonts w:cs="Verdana" w:ascii="Verdana" w:hAnsi="Verdana"/>
          <w:b/>
          <w:sz w:val="18"/>
          <w:szCs w:val="18"/>
          <w:lang w:val="pl-PL"/>
        </w:rPr>
        <w:t xml:space="preserve"> 19/2 ; 19/10 </w:t>
      </w:r>
      <w:r>
        <w:rPr>
          <w:rFonts w:cs="Verdana" w:ascii="Verdana" w:hAnsi="Verdana"/>
          <w:sz w:val="18"/>
          <w:szCs w:val="18"/>
          <w:lang w:val="pl-PL"/>
        </w:rPr>
        <w:t xml:space="preserve"> </w:t>
      </w:r>
      <w:r>
        <w:rPr>
          <w:rFonts w:cs="Verdana" w:ascii="Verdana" w:hAnsi="Verdana"/>
          <w:b/>
          <w:sz w:val="18"/>
          <w:szCs w:val="18"/>
          <w:lang w:val="pl-PL"/>
        </w:rPr>
        <w:t>o powierzchni 24,0662 HA</w:t>
      </w:r>
      <w:r>
        <w:rPr>
          <w:rFonts w:cs="Verdana" w:ascii="Verdana" w:hAnsi="Verdana"/>
          <w:sz w:val="18"/>
          <w:szCs w:val="18"/>
          <w:lang w:val="pl-PL"/>
        </w:rPr>
        <w:t>, dla której w Sądzie Rejonowym we Wrześni IV Wydział  Ksiąg Wieczystych prowadzona jest księga wieczysta nr PO1F/00034710/1.</w:t>
      </w:r>
    </w:p>
    <w:p>
      <w:pPr>
        <w:pStyle w:val="Normal"/>
        <w:spacing w:lineRule="auto" w:line="276"/>
        <w:ind w:left="360" w:hanging="360"/>
        <w:rPr>
          <w:rFonts w:ascii="Verdana" w:hAnsi="Verdana" w:cs="Verdana"/>
          <w:b/>
          <w:b/>
          <w:sz w:val="18"/>
          <w:szCs w:val="18"/>
          <w:lang w:val="pl-PL"/>
        </w:rPr>
      </w:pPr>
      <w:r>
        <w:rPr>
          <w:rFonts w:cs="Verdana" w:ascii="Verdana" w:hAnsi="Verdana"/>
          <w:b/>
          <w:sz w:val="18"/>
          <w:szCs w:val="18"/>
          <w:lang w:val="pl-PL"/>
        </w:rPr>
      </w:r>
    </w:p>
    <w:p>
      <w:pPr>
        <w:pStyle w:val="Normal"/>
        <w:spacing w:lineRule="auto" w:line="360"/>
        <w:ind w:left="360" w:hanging="0"/>
        <w:jc w:val="both"/>
        <w:rPr>
          <w:rFonts w:ascii="Verdana" w:hAnsi="Verdana" w:cs="Verdana"/>
          <w:i/>
          <w:i/>
          <w:sz w:val="18"/>
          <w:szCs w:val="18"/>
          <w:lang w:val="pl-PL"/>
        </w:rPr>
      </w:pPr>
      <w:r>
        <w:rPr>
          <w:rFonts w:cs="Verdana" w:ascii="Verdana" w:hAnsi="Verdana"/>
          <w:i/>
          <w:sz w:val="18"/>
          <w:szCs w:val="18"/>
          <w:lang w:val="pl-PL"/>
        </w:rPr>
        <w:t xml:space="preserve">Nieruchomość stanowi grunty orne, nieużytki oraz grunty pod stawami, położona jest na terenie gminy Kostrzyn w powiecie poznańskim, województwie wielkopolskim- w odległości ok 8 km od Kostrzyna oraz ok 30 km od Poznania. Bezpośredni dojazd do nieruchomości realizowany jest drogą boczną o nawierzchni utwardzonej szutrowej oraz drogą asfaltową relacji Iwno-Gniezno. Sąsiedztwo stanowią domy jednorodzinne , hale usługowe, kompleksy leśne oraz droga ekspresowa S5.Teren płaski ze zbiornikami wodnymi utworzonymi z wyrobisk po żwirowych. </w:t>
      </w:r>
    </w:p>
    <w:p>
      <w:pPr>
        <w:pStyle w:val="Normal"/>
        <w:spacing w:lineRule="auto" w:line="360"/>
        <w:ind w:left="360" w:hanging="0"/>
        <w:jc w:val="both"/>
        <w:rPr>
          <w:rFonts w:ascii="Verdana" w:hAnsi="Verdana" w:cs="Verdana"/>
          <w:i/>
          <w:i/>
          <w:sz w:val="18"/>
          <w:szCs w:val="18"/>
          <w:lang w:val="pl-PL"/>
        </w:rPr>
      </w:pPr>
      <w:r>
        <w:rPr>
          <w:rFonts w:cs="Verdana" w:ascii="Verdana" w:hAnsi="Verdana"/>
          <w:i/>
          <w:sz w:val="18"/>
          <w:szCs w:val="18"/>
          <w:lang w:val="pl-PL"/>
        </w:rPr>
        <w:t xml:space="preserve">Urząd Miejski w Kostrzynie informuje, że na terenie działek nie ma obowiązującego miejscowego planu zagospodarowania przestrzennego. W Studium uwarunkowań i kierunków zagospodarowania przestrzennego Gminy Kostrzyn, zatwierdzonym uchwałą Rady Miejskiej Gminy Kostrzyn nr XXX/239/2001 z dnia 3 lipca 2001 r. z późniejszymi zmianami (ostatnia 2016r.) </w:t>
      </w:r>
    </w:p>
    <w:p>
      <w:pPr>
        <w:pStyle w:val="Normal"/>
        <w:spacing w:lineRule="auto" w:line="360"/>
        <w:ind w:left="360" w:hanging="0"/>
        <w:jc w:val="both"/>
        <w:rPr>
          <w:rFonts w:ascii="Verdana" w:hAnsi="Verdana" w:cs="Verdana"/>
          <w:i/>
          <w:i/>
          <w:sz w:val="18"/>
          <w:szCs w:val="18"/>
          <w:lang w:val="pl-PL"/>
        </w:rPr>
      </w:pPr>
      <w:r>
        <w:rPr>
          <w:rFonts w:cs="Verdana" w:ascii="Verdana" w:hAnsi="Verdana"/>
          <w:i/>
          <w:sz w:val="18"/>
          <w:szCs w:val="18"/>
          <w:lang w:val="pl-PL"/>
        </w:rPr>
      </w:r>
    </w:p>
    <w:p>
      <w:pPr>
        <w:pStyle w:val="Normal"/>
        <w:ind w:left="360" w:firstLine="58"/>
        <w:jc w:val="both"/>
        <w:rPr>
          <w:rFonts w:ascii="Verdana" w:hAnsi="Verdana" w:cs="Verdana"/>
          <w:b/>
          <w:b/>
          <w:sz w:val="18"/>
          <w:szCs w:val="18"/>
          <w:u w:val="single"/>
        </w:rPr>
      </w:pPr>
      <w:r>
        <w:rPr>
          <w:rFonts w:cs="Verdana" w:ascii="Verdana" w:hAnsi="Verdana"/>
          <w:b/>
          <w:i/>
          <w:sz w:val="18"/>
          <w:szCs w:val="18"/>
          <w:u w:val="single"/>
        </w:rPr>
        <w:t>kierunkiem zagospodarowania przestrzennego ww. działek  są to tereny usług komercyjnych   (UK).</w:t>
      </w:r>
    </w:p>
    <w:p>
      <w:pPr>
        <w:pStyle w:val="Normal"/>
        <w:spacing w:before="504" w:after="0"/>
        <w:ind w:left="2832" w:firstLine="708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</w:r>
    </w:p>
    <w:p>
      <w:pPr>
        <w:pStyle w:val="Normal"/>
        <w:spacing w:before="504" w:after="0"/>
        <w:ind w:left="2832" w:firstLine="708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</w:r>
    </w:p>
    <w:p>
      <w:pPr>
        <w:pStyle w:val="Normal"/>
        <w:spacing w:before="504" w:after="0"/>
        <w:ind w:firstLine="708"/>
        <w:rPr>
          <w:rFonts w:ascii="Verdana" w:hAnsi="Verdana"/>
          <w:b/>
          <w:b/>
          <w:color w:val="000000"/>
          <w:sz w:val="20"/>
          <w:lang w:val="pl-PL"/>
        </w:rPr>
      </w:pPr>
      <w:r>
        <w:rPr>
          <w:rFonts w:ascii="Verdana" w:hAnsi="Verdana"/>
          <w:b/>
          <w:color w:val="000000"/>
          <w:sz w:val="20"/>
          <w:lang w:val="pl-PL"/>
        </w:rPr>
        <w:t>KOMISJA PRZETARGOWA</w:t>
      </w:r>
    </w:p>
    <w:p>
      <w:pPr>
        <w:pStyle w:val="Normal"/>
        <w:spacing w:before="504" w:after="0"/>
        <w:ind w:left="2832" w:firstLine="708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 xml:space="preserve">        </w:t>
      </w:r>
      <w:r>
        <w:rPr>
          <w:rFonts w:ascii="Verdana" w:hAnsi="Verdana"/>
          <w:color w:val="000000"/>
          <w:sz w:val="20"/>
          <w:lang w:val="pl-PL"/>
        </w:rPr>
        <w:t>§3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>Czynności związane z przeprowadzeniem przetargu wykonuje komisja przetargowa.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360" w:before="144" w:after="0"/>
        <w:ind w:left="0" w:hanging="0"/>
        <w:rPr>
          <w:rFonts w:ascii="Verdana" w:hAnsi="Verdana"/>
          <w:color w:val="000000"/>
          <w:spacing w:val="-15"/>
          <w:sz w:val="20"/>
          <w:lang w:val="pl-PL"/>
        </w:rPr>
      </w:pPr>
      <w:r>
        <w:rPr>
          <w:rFonts w:ascii="Verdana" w:hAnsi="Verdana"/>
          <w:color w:val="000000"/>
          <w:spacing w:val="-15"/>
          <w:sz w:val="20"/>
          <w:lang w:val="pl-PL"/>
        </w:rPr>
        <w:t xml:space="preserve">Komisja liczy 3 członków i składa się z Przewodniczącego oraz członków, wyznaczonych przez   </w:t>
      </w:r>
      <w:r>
        <w:rPr>
          <w:rFonts w:ascii="Verdana" w:hAnsi="Verdana"/>
          <w:color w:val="000000"/>
          <w:spacing w:val="-13"/>
          <w:sz w:val="20"/>
          <w:lang w:val="pl-PL"/>
        </w:rPr>
        <w:t xml:space="preserve">Organizatora spośród osób dających rękojmię rzetelnego przeprowadzenia i rozstrzygnięcia </w:t>
      </w:r>
      <w:r>
        <w:rPr>
          <w:rFonts w:ascii="Verdana" w:hAnsi="Verdana"/>
          <w:color w:val="000000"/>
          <w:spacing w:val="-8"/>
          <w:sz w:val="20"/>
          <w:lang w:val="pl-PL"/>
        </w:rPr>
        <w:t>przetargu.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360" w:before="72" w:after="0"/>
        <w:ind w:left="0" w:hanging="0"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 xml:space="preserve">Komisja przetargowa podejmuje rozstrzygnięcia w drodze głosowania, z zastrzeżeniem § 12 ust. </w:t>
      </w:r>
      <w:r>
        <w:rPr>
          <w:rFonts w:ascii="Verdana" w:hAnsi="Verdana"/>
          <w:color w:val="000000"/>
          <w:sz w:val="20"/>
          <w:lang w:val="pl-PL"/>
        </w:rPr>
        <w:t>7.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  <w:t>W przypadku równej liczby głosów decyduje głos Przewodniczącego komisji przetargowej.</w:t>
      </w:r>
    </w:p>
    <w:p>
      <w:pPr>
        <w:pStyle w:val="Normal"/>
        <w:spacing w:before="324" w:after="0"/>
        <w:ind w:left="3540" w:firstLine="708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§4</w:t>
      </w:r>
    </w:p>
    <w:p>
      <w:pPr>
        <w:pStyle w:val="Normal"/>
        <w:spacing w:lineRule="auto" w:line="360" w:before="108" w:after="0"/>
        <w:rPr>
          <w:rFonts w:ascii="Verdana" w:hAnsi="Verdana"/>
          <w:color w:val="000000"/>
          <w:spacing w:val="-11"/>
          <w:sz w:val="20"/>
          <w:lang w:val="pl-PL"/>
        </w:rPr>
      </w:pPr>
      <w:r>
        <w:rPr>
          <w:rFonts w:ascii="Verdana" w:hAnsi="Verdana"/>
          <w:color w:val="000000"/>
          <w:spacing w:val="-11"/>
          <w:sz w:val="20"/>
          <w:lang w:val="pl-PL"/>
        </w:rPr>
        <w:t xml:space="preserve">W przetargu nie mogą uczestniczyć osoby wchodzące w skład komisji przetargowej oraz osoby bliskie tym osobom, a także osoby, które pozostają z członkami komisji przetargowej w takim </w:t>
      </w:r>
      <w:r>
        <w:rPr>
          <w:rFonts w:ascii="Verdana" w:hAnsi="Verdana"/>
          <w:color w:val="000000"/>
          <w:spacing w:val="-3"/>
          <w:sz w:val="20"/>
          <w:lang w:val="pl-PL"/>
        </w:rPr>
        <w:t xml:space="preserve">stosunku prawnym lub faktycznym, że może budzić to uzasadnione wątpliwości co do </w:t>
      </w:r>
      <w:r>
        <w:rPr>
          <w:rFonts w:ascii="Verdana" w:hAnsi="Verdana"/>
          <w:color w:val="000000"/>
          <w:spacing w:val="-12"/>
          <w:sz w:val="20"/>
          <w:lang w:val="pl-PL"/>
        </w:rPr>
        <w:t>bezstronności komisji przetargowej.</w:t>
      </w:r>
    </w:p>
    <w:p>
      <w:pPr>
        <w:pStyle w:val="Normal"/>
        <w:spacing w:before="324" w:after="0"/>
        <w:ind w:left="3540" w:firstLine="708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§5</w:t>
      </w:r>
    </w:p>
    <w:p>
      <w:pPr>
        <w:pStyle w:val="Normal"/>
        <w:spacing w:lineRule="auto" w:line="360" w:before="144" w:after="0"/>
        <w:rPr>
          <w:rFonts w:ascii="Verdana" w:hAnsi="Verdana"/>
          <w:color w:val="000000"/>
          <w:spacing w:val="-16"/>
          <w:sz w:val="20"/>
          <w:lang w:val="pl-PL"/>
        </w:rPr>
      </w:pPr>
      <w:r>
        <w:rPr>
          <w:rFonts w:ascii="Verdana" w:hAnsi="Verdana"/>
          <w:color w:val="000000"/>
          <w:spacing w:val="-16"/>
          <w:sz w:val="20"/>
          <w:lang w:val="pl-PL"/>
        </w:rPr>
        <w:t xml:space="preserve">1. Przewodniczący komisji przetargowej sporządza protokół przeprowadzonego przetargu. Protokół </w:t>
      </w:r>
      <w:r>
        <w:rPr>
          <w:rFonts w:ascii="Verdana" w:hAnsi="Verdana"/>
          <w:color w:val="000000"/>
          <w:spacing w:val="-14"/>
          <w:sz w:val="20"/>
          <w:lang w:val="pl-PL"/>
        </w:rPr>
        <w:t>powinien zawierać informacje o:</w:t>
      </w:r>
    </w:p>
    <w:p>
      <w:pPr>
        <w:pStyle w:val="Normal"/>
        <w:numPr>
          <w:ilvl w:val="0"/>
          <w:numId w:val="3"/>
        </w:numPr>
        <w:tabs>
          <w:tab w:val="clear" w:pos="708"/>
          <w:tab w:val="decimal" w:pos="426" w:leader="none"/>
        </w:tabs>
        <w:spacing w:before="108" w:after="0"/>
        <w:ind w:left="0" w:hanging="0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>terminie i miejscu oraz rodzaju przetargu;</w:t>
      </w:r>
    </w:p>
    <w:p>
      <w:pPr>
        <w:pStyle w:val="Normal"/>
        <w:numPr>
          <w:ilvl w:val="0"/>
          <w:numId w:val="3"/>
        </w:numPr>
        <w:tabs>
          <w:tab w:val="clear" w:pos="708"/>
          <w:tab w:val="decimal" w:pos="426" w:leader="none"/>
        </w:tabs>
        <w:spacing w:lineRule="auto" w:line="360" w:before="72" w:after="0"/>
        <w:ind w:left="0" w:hanging="0"/>
        <w:rPr>
          <w:rFonts w:ascii="Verdana" w:hAnsi="Verdana"/>
          <w:color w:val="000000"/>
          <w:spacing w:val="-16"/>
          <w:sz w:val="20"/>
          <w:lang w:val="pl-PL"/>
        </w:rPr>
      </w:pPr>
      <w:r>
        <w:rPr>
          <w:rFonts w:ascii="Verdana" w:hAnsi="Verdana"/>
          <w:color w:val="000000"/>
          <w:spacing w:val="-16"/>
          <w:sz w:val="20"/>
          <w:lang w:val="pl-PL"/>
        </w:rPr>
        <w:t xml:space="preserve">oznaczeniu nieruchomości będącej przedmiotem przetargu według katastru nieruchomości i </w:t>
      </w:r>
      <w:r>
        <w:rPr>
          <w:rFonts w:ascii="Verdana" w:hAnsi="Verdana"/>
          <w:color w:val="000000"/>
          <w:spacing w:val="-14"/>
          <w:sz w:val="20"/>
          <w:lang w:val="pl-PL"/>
        </w:rPr>
        <w:t>księgi wieczystej;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2"/>
          <w:sz w:val="20"/>
          <w:lang w:val="pl-PL"/>
        </w:rPr>
      </w:pPr>
      <w:r>
        <w:rPr>
          <w:rFonts w:ascii="Verdana" w:hAnsi="Verdana"/>
          <w:color w:val="000000"/>
          <w:spacing w:val="-2"/>
          <w:sz w:val="20"/>
          <w:lang w:val="pl-PL"/>
        </w:rPr>
        <w:t>obciążeniach nieruchomości;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zobowiązaniach, których przedmiotem jest nieruchomość;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wyjaśnieniach i oświadczeniach złożonych przez oferentów;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 w:before="72" w:after="0"/>
        <w:ind w:left="0" w:hanging="0"/>
        <w:rPr>
          <w:rFonts w:ascii="Verdana" w:hAnsi="Verdana"/>
          <w:color w:val="000000"/>
          <w:spacing w:val="-1"/>
          <w:sz w:val="20"/>
          <w:lang w:val="pl-PL"/>
        </w:rPr>
      </w:pPr>
      <w:r>
        <w:rPr>
          <w:rFonts w:ascii="Verdana" w:hAnsi="Verdana"/>
          <w:color w:val="000000"/>
          <w:spacing w:val="-1"/>
          <w:sz w:val="20"/>
          <w:lang w:val="pl-PL"/>
        </w:rPr>
        <w:t xml:space="preserve">osobach dopuszczonych i niedopuszczonych do uczestniczenia w przetargu, wraz </w:t>
      </w:r>
      <w:r>
        <w:rPr>
          <w:rFonts w:ascii="Verdana" w:hAnsi="Verdana"/>
          <w:color w:val="000000"/>
          <w:spacing w:val="-14"/>
          <w:sz w:val="20"/>
          <w:lang w:val="pl-PL"/>
        </w:rPr>
        <w:t>z uzasadnieniem;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  <w:t>cenie wywoławczej nieruchomości oraz najwyższej cenie osiągniętej w przetargu;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  <w:t>uzasadnieniu rozstrzygnięć podjętych przez komisję przetargową;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 w:before="108" w:after="0"/>
        <w:ind w:left="0" w:hanging="0"/>
        <w:rPr>
          <w:rFonts w:ascii="Verdana" w:hAnsi="Verdana"/>
          <w:color w:val="000000"/>
          <w:spacing w:val="-3"/>
          <w:sz w:val="20"/>
          <w:lang w:val="pl-PL"/>
        </w:rPr>
      </w:pPr>
      <w:r>
        <w:rPr>
          <w:rFonts w:ascii="Verdana" w:hAnsi="Verdana"/>
          <w:color w:val="000000"/>
          <w:spacing w:val="-3"/>
          <w:sz w:val="20"/>
          <w:lang w:val="pl-PL"/>
        </w:rPr>
        <w:t xml:space="preserve">imieniu, nazwisku i adresie albo nazwie lub firmie oraz siedzibie osoby wyłonionej </w:t>
      </w:r>
      <w:r>
        <w:rPr>
          <w:rFonts w:ascii="Verdana" w:hAnsi="Verdana"/>
          <w:color w:val="000000"/>
          <w:spacing w:val="-13"/>
          <w:sz w:val="20"/>
          <w:lang w:val="pl-PL"/>
        </w:rPr>
        <w:t>w przetargu jako nabywca nieruchomości;</w:t>
      </w:r>
    </w:p>
    <w:p>
      <w:pPr>
        <w:pStyle w:val="Normal"/>
        <w:numPr>
          <w:ilvl w:val="0"/>
          <w:numId w:val="3"/>
        </w:numPr>
        <w:tabs>
          <w:tab w:val="clear" w:pos="708"/>
          <w:tab w:val="decimal" w:pos="709" w:leader="none"/>
        </w:tabs>
        <w:spacing w:before="72" w:after="0"/>
        <w:ind w:left="0" w:hanging="0"/>
        <w:rPr>
          <w:rFonts w:ascii="Verdana" w:hAnsi="Verdana"/>
          <w:color w:val="000000"/>
          <w:spacing w:val="-3"/>
          <w:sz w:val="20"/>
          <w:lang w:val="pl-PL"/>
        </w:rPr>
      </w:pPr>
      <w:r>
        <w:rPr>
          <w:rFonts w:ascii="Verdana" w:hAnsi="Verdana"/>
          <w:color w:val="000000"/>
          <w:spacing w:val="-3"/>
          <w:sz w:val="20"/>
          <w:lang w:val="pl-PL"/>
        </w:rPr>
        <w:t>imionach i nazwiskach przewodniczącego i członków komisji przetargowej;</w:t>
      </w:r>
    </w:p>
    <w:p>
      <w:pPr>
        <w:pStyle w:val="Normal"/>
        <w:numPr>
          <w:ilvl w:val="0"/>
          <w:numId w:val="3"/>
        </w:numPr>
        <w:spacing w:before="108" w:after="432"/>
        <w:ind w:left="0" w:hanging="0"/>
        <w:rPr>
          <w:rFonts w:ascii="Verdana" w:hAnsi="Verdana"/>
          <w:color w:val="000000"/>
          <w:spacing w:val="10"/>
          <w:sz w:val="20"/>
          <w:lang w:val="pl-PL"/>
        </w:rPr>
      </w:pPr>
      <w:r>
        <w:rPr>
          <w:rFonts w:ascii="Verdana" w:hAnsi="Verdana"/>
          <w:color w:val="000000"/>
          <w:spacing w:val="10"/>
          <w:sz w:val="20"/>
          <w:lang w:val="pl-PL"/>
        </w:rPr>
        <w:t>dacie sporządzenia protokołu.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/>
        <w:ind w:left="0" w:hanging="0"/>
        <w:rPr>
          <w:rFonts w:ascii="Verdana" w:hAnsi="Verdana"/>
          <w:color w:val="000000"/>
          <w:spacing w:val="-13"/>
          <w:sz w:val="20"/>
          <w:lang w:val="pl-PL"/>
        </w:rPr>
      </w:pPr>
      <w:r>
        <w:rPr>
          <w:rFonts w:ascii="Verdana" w:hAnsi="Verdana"/>
          <w:color w:val="000000"/>
          <w:spacing w:val="-13"/>
          <w:sz w:val="20"/>
          <w:lang w:val="pl-PL"/>
        </w:rPr>
        <w:t xml:space="preserve">Protokół przeprowadzonego przetargu sporządza się w trzech jednobrzmiących egzemplarzach, </w:t>
      </w:r>
      <w:r>
        <w:rPr>
          <w:rFonts w:ascii="Verdana" w:hAnsi="Verdana"/>
          <w:color w:val="000000"/>
          <w:spacing w:val="-15"/>
          <w:sz w:val="20"/>
          <w:lang w:val="pl-PL"/>
        </w:rPr>
        <w:t xml:space="preserve">z których dwa przeznaczone są dla Organizatora, a jeden dla osoby ustalonej jako nabywca </w:t>
      </w:r>
      <w:r>
        <w:rPr>
          <w:rFonts w:ascii="Verdana" w:hAnsi="Verdana"/>
          <w:color w:val="000000"/>
          <w:spacing w:val="-14"/>
          <w:sz w:val="20"/>
          <w:lang w:val="pl-PL"/>
        </w:rPr>
        <w:t>nieruchomości.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 w:before="108" w:after="0"/>
        <w:ind w:left="0" w:hanging="0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 xml:space="preserve">Protokół przeprowadzonego przetargu podpisują przewodniczący i członkowie komisji </w:t>
      </w:r>
      <w:r>
        <w:rPr>
          <w:rFonts w:ascii="Verdana" w:hAnsi="Verdana"/>
          <w:color w:val="000000"/>
          <w:spacing w:val="-13"/>
          <w:sz w:val="20"/>
          <w:lang w:val="pl-PL"/>
        </w:rPr>
        <w:t>przetargowej oraz osoba wyłoniona w przetargu jako nabywca nieruchomości.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360" w:before="72" w:after="0"/>
        <w:ind w:left="0" w:hanging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 xml:space="preserve">Protokół przeprowadzonego przetargu stanowi podstawę zawarcia umowy przenoszącej </w:t>
      </w:r>
      <w:r>
        <w:rPr>
          <w:rFonts w:ascii="Verdana" w:hAnsi="Verdana"/>
          <w:color w:val="000000"/>
          <w:spacing w:val="-12"/>
          <w:sz w:val="20"/>
          <w:lang w:val="pl-PL"/>
        </w:rPr>
        <w:t>własność nieruchomości.</w:t>
      </w:r>
    </w:p>
    <w:p>
      <w:pPr>
        <w:pStyle w:val="Normal"/>
        <w:tabs>
          <w:tab w:val="clear" w:pos="708"/>
          <w:tab w:val="decimal" w:pos="1418" w:leader="none"/>
        </w:tabs>
        <w:spacing w:lineRule="auto" w:line="216" w:before="360" w:after="0"/>
        <w:rPr>
          <w:rFonts w:ascii="Verdana" w:hAnsi="Verdana"/>
          <w:b/>
          <w:b/>
          <w:color w:val="000000"/>
          <w:sz w:val="19"/>
          <w:szCs w:val="19"/>
          <w:lang w:val="pl-PL"/>
        </w:rPr>
      </w:pPr>
      <w:r>
        <w:rPr>
          <w:rFonts w:ascii="Verdana" w:hAnsi="Verdana"/>
          <w:b/>
          <w:color w:val="000000"/>
          <w:sz w:val="19"/>
          <w:szCs w:val="19"/>
          <w:lang w:val="pl-PL"/>
        </w:rPr>
        <w:t>ZASADY PRZETARGU</w:t>
      </w:r>
    </w:p>
    <w:p>
      <w:pPr>
        <w:pStyle w:val="Normal"/>
        <w:tabs>
          <w:tab w:val="clear" w:pos="708"/>
          <w:tab w:val="decimal" w:pos="1418" w:leader="none"/>
        </w:tabs>
        <w:spacing w:before="324" w:after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ab/>
        <w:tab/>
        <w:tab/>
        <w:tab/>
        <w:tab/>
        <w:t>§6</w:t>
      </w:r>
    </w:p>
    <w:p>
      <w:pPr>
        <w:pStyle w:val="Normal"/>
        <w:tabs>
          <w:tab w:val="clear" w:pos="708"/>
          <w:tab w:val="decimal" w:pos="1418" w:leader="none"/>
        </w:tabs>
        <w:spacing w:lineRule="auto" w:line="360" w:before="108" w:after="0"/>
        <w:rPr>
          <w:rFonts w:ascii="Verdana" w:hAnsi="Verdana"/>
          <w:color w:val="000000"/>
          <w:spacing w:val="-11"/>
          <w:sz w:val="20"/>
          <w:lang w:val="pl-PL"/>
        </w:rPr>
      </w:pPr>
      <w:r>
        <w:rPr>
          <w:rFonts w:ascii="Verdana" w:hAnsi="Verdana"/>
          <w:color w:val="000000"/>
          <w:spacing w:val="-11"/>
          <w:sz w:val="20"/>
          <w:lang w:val="pl-PL"/>
        </w:rPr>
        <w:t xml:space="preserve">1. Postępowanie przetargowe wszczyna się poprzez podanie do publicznej wiadomości ogłoszenia </w:t>
      </w:r>
      <w:r>
        <w:rPr>
          <w:rFonts w:ascii="Verdana" w:hAnsi="Verdana"/>
          <w:color w:val="000000"/>
          <w:spacing w:val="-14"/>
          <w:sz w:val="20"/>
          <w:lang w:val="pl-PL"/>
        </w:rPr>
        <w:t>o przetargu.</w:t>
      </w:r>
    </w:p>
    <w:p>
      <w:pPr>
        <w:pStyle w:val="Normal"/>
        <w:tabs>
          <w:tab w:val="clear" w:pos="708"/>
          <w:tab w:val="decimal" w:pos="1418" w:leader="none"/>
        </w:tabs>
        <w:spacing w:lineRule="auto" w:line="360" w:before="108" w:after="0"/>
        <w:rPr>
          <w:rFonts w:ascii="Verdana" w:hAnsi="Verdana"/>
          <w:color w:val="000000"/>
          <w:spacing w:val="-11"/>
          <w:sz w:val="20"/>
          <w:lang w:val="pl-PL"/>
        </w:rPr>
      </w:pPr>
      <w:r>
        <w:rPr>
          <w:rFonts w:ascii="Verdana" w:hAnsi="Verdana"/>
          <w:color w:val="000000"/>
          <w:spacing w:val="-11"/>
          <w:sz w:val="20"/>
          <w:lang w:val="pl-PL"/>
        </w:rPr>
        <w:t xml:space="preserve">2. Ogłoszenie o przetargu zamieszcza się na tablicy ogłoszeń w siedzibie Organizatora oraz na </w:t>
      </w:r>
      <w:r>
        <w:rPr>
          <w:rFonts w:ascii="Verdana" w:hAnsi="Verdana"/>
          <w:color w:val="000000"/>
          <w:spacing w:val="-13"/>
          <w:sz w:val="20"/>
          <w:lang w:val="pl-PL"/>
        </w:rPr>
        <w:t>stronie internetowej Organizatora.</w:t>
      </w:r>
    </w:p>
    <w:p>
      <w:pPr>
        <w:pStyle w:val="Normal"/>
        <w:tabs>
          <w:tab w:val="clear" w:pos="708"/>
          <w:tab w:val="decimal" w:pos="1418" w:leader="none"/>
        </w:tabs>
        <w:spacing w:lineRule="auto" w:line="360" w:before="72" w:after="0"/>
        <w:rPr>
          <w:rFonts w:ascii="Verdana" w:hAnsi="Verdana"/>
          <w:color w:val="000000"/>
          <w:spacing w:val="-13"/>
          <w:sz w:val="20"/>
          <w:lang w:val="pl-PL"/>
        </w:rPr>
      </w:pPr>
      <w:r>
        <w:rPr>
          <w:rFonts w:ascii="Verdana" w:hAnsi="Verdana"/>
          <w:color w:val="000000"/>
          <w:spacing w:val="-13"/>
          <w:sz w:val="20"/>
          <w:lang w:val="pl-PL"/>
        </w:rPr>
        <w:t xml:space="preserve">3. Ogłoszenie o przetargu podaje się do publicznej wiadomości nie później niż na 21 dni przed </w:t>
      </w:r>
      <w:r>
        <w:rPr>
          <w:rFonts w:ascii="Verdana" w:hAnsi="Verdana"/>
          <w:color w:val="000000"/>
          <w:spacing w:val="-14"/>
          <w:sz w:val="20"/>
          <w:lang w:val="pl-PL"/>
        </w:rPr>
        <w:t>wyznaczonym terminem przetargu.</w:t>
      </w:r>
    </w:p>
    <w:p>
      <w:pPr>
        <w:pStyle w:val="Normal"/>
        <w:tabs>
          <w:tab w:val="clear" w:pos="708"/>
          <w:tab w:val="decimal" w:pos="1418" w:leader="none"/>
        </w:tabs>
        <w:spacing w:before="108" w:after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>4. Ogłoszenie powinno zawierać: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oznaczenie nieruchomości według księgi wieczystej oraz katastru nieruchomości;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powierzchnię nieruchomości;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6"/>
          <w:sz w:val="20"/>
          <w:lang w:val="pl-PL"/>
        </w:rPr>
      </w:pPr>
      <w:r>
        <w:rPr>
          <w:rFonts w:ascii="Verdana" w:hAnsi="Verdana"/>
          <w:color w:val="000000"/>
          <w:spacing w:val="6"/>
          <w:sz w:val="20"/>
          <w:lang w:val="pl-PL"/>
        </w:rPr>
        <w:t>opis nieruchomości;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>przeznaczenie nieruchomości i sposób jej zagospodarowania;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4"/>
          <w:sz w:val="20"/>
          <w:lang w:val="pl-PL"/>
        </w:rPr>
      </w:pPr>
      <w:r>
        <w:rPr>
          <w:rFonts w:ascii="Verdana" w:hAnsi="Verdana"/>
          <w:color w:val="000000"/>
          <w:spacing w:val="-4"/>
          <w:sz w:val="20"/>
          <w:lang w:val="pl-PL"/>
        </w:rPr>
        <w:t>termin zagospodarowania nieruchomości;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8"/>
          <w:sz w:val="20"/>
          <w:lang w:val="pl-PL"/>
        </w:rPr>
      </w:pPr>
      <w:r>
        <w:rPr>
          <w:rFonts w:ascii="Verdana" w:hAnsi="Verdana"/>
          <w:color w:val="000000"/>
          <w:spacing w:val="8"/>
          <w:sz w:val="20"/>
          <w:lang w:val="pl-PL"/>
        </w:rPr>
        <w:t>cenie wywoławczej;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obciążeniach nieruchomości;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>zobowiązaniach, których przedmiotem jest nieruchomość;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terminie i miejscu przetargu;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108" w:after="0"/>
        <w:ind w:left="0" w:hanging="0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>wysokości wadium, formach, terminie i miejscu jego wniesienia;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before="72" w:after="0"/>
        <w:ind w:left="0" w:hanging="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skutkach uchylenia się od zawarcia umowy sprzedaży nieruchomości.</w:t>
      </w:r>
    </w:p>
    <w:p>
      <w:pPr>
        <w:pStyle w:val="Normal"/>
        <w:tabs>
          <w:tab w:val="clear" w:pos="708"/>
          <w:tab w:val="decimal" w:pos="1418" w:leader="none"/>
        </w:tabs>
        <w:spacing w:lineRule="auto" w:line="360" w:before="144" w:after="0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20"/>
          <w:lang w:val="pl-PL"/>
        </w:rPr>
        <w:t xml:space="preserve">5. W ogłoszeniu o przetargu nie można zamieszczać terminów kolejnych przetargów lub rokowań </w:t>
      </w:r>
      <w:r>
        <w:rPr>
          <w:rFonts w:ascii="Verdana" w:hAnsi="Verdana"/>
          <w:color w:val="000000"/>
          <w:spacing w:val="-14"/>
          <w:sz w:val="20"/>
          <w:lang w:val="pl-PL"/>
        </w:rPr>
        <w:t>na zbycie tej samej nieruchomości.</w:t>
      </w:r>
    </w:p>
    <w:p>
      <w:pPr>
        <w:pStyle w:val="Normal"/>
        <w:tabs>
          <w:tab w:val="clear" w:pos="708"/>
          <w:tab w:val="decimal" w:pos="1418" w:leader="none"/>
        </w:tabs>
        <w:spacing w:lineRule="auto" w:line="360" w:before="72" w:after="0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20"/>
          <w:lang w:val="pl-PL"/>
        </w:rPr>
        <w:t xml:space="preserve">6. W jednym ogłoszeniu o przetargu można zamieszczać informacje o przetargach na więcej niż </w:t>
      </w:r>
      <w:r>
        <w:rPr>
          <w:rFonts w:ascii="Verdana" w:hAnsi="Verdana"/>
          <w:color w:val="000000"/>
          <w:spacing w:val="-14"/>
          <w:sz w:val="20"/>
          <w:lang w:val="pl-PL"/>
        </w:rPr>
        <w:t>jedną nieruchomość.</w:t>
      </w:r>
    </w:p>
    <w:p>
      <w:pPr>
        <w:pStyle w:val="Normal"/>
        <w:tabs>
          <w:tab w:val="clear" w:pos="708"/>
          <w:tab w:val="decimal" w:pos="1418" w:leader="none"/>
        </w:tabs>
        <w:spacing w:before="324" w:after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ab/>
        <w:tab/>
        <w:tab/>
        <w:tab/>
        <w:tab/>
        <w:t>§7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360" w:before="108" w:after="0"/>
        <w:ind w:left="0" w:hanging="0"/>
        <w:rPr>
          <w:rFonts w:ascii="Verdana" w:hAnsi="Verdana"/>
          <w:color w:val="000000"/>
          <w:spacing w:val="-5"/>
          <w:sz w:val="20"/>
          <w:lang w:val="pl-PL"/>
        </w:rPr>
      </w:pPr>
      <w:r>
        <w:rPr>
          <w:rFonts w:ascii="Verdana" w:hAnsi="Verdana"/>
          <w:color w:val="000000"/>
          <w:spacing w:val="-5"/>
          <w:sz w:val="20"/>
          <w:lang w:val="pl-PL"/>
        </w:rPr>
        <w:t xml:space="preserve">W przetargu mogą brać udział osoby, które wniosą wadium w terminie wyznaczonym </w:t>
      </w:r>
      <w:r>
        <w:rPr>
          <w:rFonts w:ascii="Verdana" w:hAnsi="Verdana"/>
          <w:color w:val="000000"/>
          <w:spacing w:val="-14"/>
          <w:sz w:val="20"/>
          <w:lang w:val="pl-PL"/>
        </w:rPr>
        <w:t xml:space="preserve">w ogłoszeniu o przetargu — na co najmniej 3 dni przed </w:t>
      </w:r>
      <w:r>
        <w:rPr>
          <w:rFonts w:ascii="Verdana" w:hAnsi="Verdana"/>
          <w:spacing w:val="-14"/>
          <w:sz w:val="20"/>
          <w:lang w:val="pl-PL"/>
        </w:rPr>
        <w:t>rozpoczęciem przetargu.</w:t>
      </w:r>
    </w:p>
    <w:p>
      <w:pPr>
        <w:pStyle w:val="Normal"/>
        <w:numPr>
          <w:ilvl w:val="0"/>
          <w:numId w:val="6"/>
        </w:numPr>
        <w:tabs>
          <w:tab w:val="clear" w:pos="708"/>
          <w:tab w:val="decimal" w:pos="426" w:leader="none"/>
        </w:tabs>
        <w:spacing w:lineRule="auto" w:line="360" w:before="72" w:after="144"/>
        <w:ind w:left="0" w:hanging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 xml:space="preserve">Organizator ustala wysokość wadium, które nie może być niższe niż 5% ceny wywoławczej </w:t>
      </w:r>
      <w:r>
        <w:rPr>
          <w:rFonts w:ascii="Verdana" w:hAnsi="Verdana"/>
          <w:color w:val="000000"/>
          <w:spacing w:val="-14"/>
          <w:sz w:val="20"/>
          <w:lang w:val="pl-PL"/>
        </w:rPr>
        <w:t>i wyższe niż 20% tej ceny.</w:t>
      </w:r>
    </w:p>
    <w:p>
      <w:pPr>
        <w:pStyle w:val="Normal"/>
        <w:spacing w:lineRule="exact" w:line="246"/>
        <w:rPr>
          <w:rFonts w:ascii="Verdana" w:hAnsi="Verdana"/>
          <w:color w:val="000000"/>
          <w:spacing w:val="-6"/>
          <w:sz w:val="19"/>
          <w:lang w:val="pl-PL"/>
        </w:rPr>
      </w:pPr>
      <w:r>
        <w:rPr>
          <w:rFonts w:ascii="Verdana" w:hAnsi="Verdana"/>
          <w:color w:val="000000"/>
          <w:spacing w:val="-6"/>
          <w:sz w:val="19"/>
          <w:lang w:val="pl-PL"/>
        </w:rPr>
        <w:t>3. Wadium wnosi się w pieniądzu na rachunek Organizatora wskazany w ogłoszeniu o przetargu.</w:t>
      </w:r>
    </w:p>
    <w:p>
      <w:pPr>
        <w:pStyle w:val="Normal"/>
        <w:spacing w:lineRule="exact" w:line="301" w:before="72" w:after="0"/>
        <w:rPr>
          <w:rFonts w:ascii="Verdana" w:hAnsi="Verdana"/>
          <w:color w:val="000000"/>
          <w:spacing w:val="-2"/>
          <w:sz w:val="19"/>
          <w:lang w:val="pl-PL"/>
        </w:rPr>
      </w:pPr>
      <w:r>
        <w:rPr>
          <w:rFonts w:ascii="Verdana" w:hAnsi="Verdana"/>
          <w:color w:val="000000"/>
          <w:spacing w:val="-2"/>
          <w:sz w:val="19"/>
          <w:lang w:val="pl-PL"/>
        </w:rPr>
        <w:t xml:space="preserve">4. Wadium zwraca się niezwłocznie po odwołaniu albo zamknięciu przetargu, z zastrzeżeniem </w:t>
        <w:br/>
      </w:r>
      <w:r>
        <w:rPr>
          <w:rFonts w:ascii="Verdana" w:hAnsi="Verdana"/>
          <w:color w:val="000000"/>
          <w:spacing w:val="-8"/>
          <w:sz w:val="19"/>
          <w:lang w:val="pl-PL"/>
        </w:rPr>
        <w:t>ust. 5 oraz § 15 ust. 3, jednak nie później niż przed upływem 3 dni od dnia, odpowiednio:</w:t>
      </w:r>
    </w:p>
    <w:p>
      <w:pPr>
        <w:pStyle w:val="Normal"/>
        <w:numPr>
          <w:ilvl w:val="0"/>
          <w:numId w:val="7"/>
        </w:numPr>
        <w:tabs>
          <w:tab w:val="clear" w:pos="708"/>
          <w:tab w:val="decimal" w:pos="1008" w:leader="none"/>
        </w:tabs>
        <w:spacing w:lineRule="exact" w:line="232" w:before="108" w:after="0"/>
        <w:ind w:left="648" w:hanging="0"/>
        <w:rPr>
          <w:rFonts w:ascii="Verdana" w:hAnsi="Verdana"/>
          <w:color w:val="000000"/>
          <w:spacing w:val="10"/>
          <w:sz w:val="19"/>
          <w:lang w:val="pl-PL"/>
        </w:rPr>
      </w:pPr>
      <w:r>
        <w:rPr>
          <w:rFonts w:ascii="Verdana" w:hAnsi="Verdana"/>
          <w:color w:val="000000"/>
          <w:spacing w:val="10"/>
          <w:sz w:val="19"/>
          <w:lang w:val="pl-PL"/>
        </w:rPr>
        <w:t>odwołania przetargu;</w:t>
      </w:r>
    </w:p>
    <w:p>
      <w:pPr>
        <w:pStyle w:val="Normal"/>
        <w:numPr>
          <w:ilvl w:val="0"/>
          <w:numId w:val="7"/>
        </w:numPr>
        <w:tabs>
          <w:tab w:val="clear" w:pos="708"/>
          <w:tab w:val="decimal" w:pos="1008" w:leader="none"/>
        </w:tabs>
        <w:spacing w:lineRule="exact" w:line="232" w:before="108" w:after="0"/>
        <w:ind w:left="648" w:hanging="0"/>
        <w:rPr>
          <w:rFonts w:ascii="Verdana" w:hAnsi="Verdana"/>
          <w:color w:val="000000"/>
          <w:spacing w:val="8"/>
          <w:sz w:val="19"/>
          <w:lang w:val="pl-PL"/>
        </w:rPr>
      </w:pPr>
      <w:r>
        <w:rPr>
          <w:rFonts w:ascii="Verdana" w:hAnsi="Verdana"/>
          <w:color w:val="000000"/>
          <w:spacing w:val="8"/>
          <w:sz w:val="19"/>
          <w:lang w:val="pl-PL"/>
        </w:rPr>
        <w:t>zamknięcia przetargu;</w:t>
      </w:r>
    </w:p>
    <w:p>
      <w:pPr>
        <w:pStyle w:val="Normal"/>
        <w:numPr>
          <w:ilvl w:val="0"/>
          <w:numId w:val="7"/>
        </w:numPr>
        <w:tabs>
          <w:tab w:val="clear" w:pos="708"/>
          <w:tab w:val="decimal" w:pos="1008" w:leader="none"/>
        </w:tabs>
        <w:spacing w:lineRule="exact" w:line="228" w:before="108" w:after="0"/>
        <w:ind w:left="648" w:hanging="0"/>
        <w:rPr>
          <w:rFonts w:ascii="Verdana" w:hAnsi="Verdana"/>
          <w:color w:val="000000"/>
          <w:spacing w:val="6"/>
          <w:sz w:val="19"/>
          <w:lang w:val="pl-PL"/>
        </w:rPr>
      </w:pPr>
      <w:r>
        <w:rPr>
          <w:rFonts w:ascii="Verdana" w:hAnsi="Verdana"/>
          <w:color w:val="000000"/>
          <w:spacing w:val="6"/>
          <w:sz w:val="19"/>
          <w:lang w:val="pl-PL"/>
        </w:rPr>
        <w:t>unieważnienia przetargu;</w:t>
      </w:r>
    </w:p>
    <w:p>
      <w:pPr>
        <w:pStyle w:val="Normal"/>
        <w:numPr>
          <w:ilvl w:val="0"/>
          <w:numId w:val="7"/>
        </w:numPr>
        <w:tabs>
          <w:tab w:val="clear" w:pos="708"/>
          <w:tab w:val="decimal" w:pos="1008" w:leader="none"/>
        </w:tabs>
        <w:spacing w:lineRule="exact" w:line="242" w:before="72" w:after="0"/>
        <w:ind w:left="648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zakończenia przetargu wynikiem negatywnym.</w:t>
      </w:r>
    </w:p>
    <w:p>
      <w:pPr>
        <w:pStyle w:val="Normal"/>
        <w:spacing w:lineRule="exact" w:line="305" w:before="108" w:after="0"/>
        <w:ind w:left="432" w:hanging="432"/>
        <w:rPr>
          <w:rFonts w:ascii="Verdana" w:hAnsi="Verdana"/>
          <w:color w:val="000000"/>
          <w:spacing w:val="-4"/>
          <w:sz w:val="19"/>
          <w:lang w:val="pl-PL"/>
        </w:rPr>
      </w:pPr>
      <w:r>
        <w:rPr>
          <w:rFonts w:ascii="Verdana" w:hAnsi="Verdana"/>
          <w:color w:val="000000"/>
          <w:spacing w:val="-4"/>
          <w:sz w:val="19"/>
          <w:lang w:val="pl-PL"/>
        </w:rPr>
        <w:t xml:space="preserve">5. Wadium wniesione w pieniądzu przez uczestnika przetargu, który przetarg wygrał, zalicza się </w:t>
      </w:r>
      <w:r>
        <w:rPr>
          <w:rFonts w:ascii="Verdana" w:hAnsi="Verdana"/>
          <w:color w:val="000000"/>
          <w:spacing w:val="-8"/>
          <w:sz w:val="19"/>
          <w:lang w:val="pl-PL"/>
        </w:rPr>
        <w:t>na poczet ceny nabycia nieruchomości.</w:t>
      </w:r>
    </w:p>
    <w:p>
      <w:pPr>
        <w:pStyle w:val="Normal"/>
        <w:spacing w:lineRule="exact" w:line="227" w:before="324" w:after="0"/>
        <w:ind w:left="4104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§8</w:t>
      </w:r>
    </w:p>
    <w:p>
      <w:pPr>
        <w:pStyle w:val="ListParagraph"/>
        <w:numPr>
          <w:ilvl w:val="0"/>
          <w:numId w:val="16"/>
        </w:numPr>
        <w:spacing w:lineRule="exact" w:line="303" w:before="108" w:after="0"/>
        <w:contextualSpacing/>
        <w:rPr>
          <w:rFonts w:ascii="Verdana" w:hAnsi="Verdana"/>
          <w:color w:val="000000"/>
          <w:spacing w:val="-10"/>
          <w:sz w:val="19"/>
          <w:lang w:val="pl-PL"/>
        </w:rPr>
      </w:pPr>
      <w:r>
        <w:rPr>
          <w:rFonts w:ascii="Verdana" w:hAnsi="Verdana"/>
          <w:color w:val="000000"/>
          <w:spacing w:val="2"/>
          <w:sz w:val="19"/>
          <w:lang w:val="pl-PL"/>
        </w:rPr>
        <w:t xml:space="preserve">Warunkiem dopuszczenia do udziału w przetargu jest spełnienie przez uczestników </w:t>
      </w:r>
      <w:r>
        <w:rPr>
          <w:rFonts w:ascii="Verdana" w:hAnsi="Verdana"/>
          <w:color w:val="000000"/>
          <w:spacing w:val="-10"/>
          <w:sz w:val="19"/>
          <w:lang w:val="pl-PL"/>
        </w:rPr>
        <w:t>następujących wymogów:</w:t>
      </w:r>
    </w:p>
    <w:p>
      <w:pPr>
        <w:pStyle w:val="Normal"/>
        <w:spacing w:lineRule="exact" w:line="303" w:before="108" w:after="0"/>
        <w:rPr>
          <w:rFonts w:ascii="Verdana" w:hAnsi="Verdana"/>
          <w:color w:val="000000"/>
          <w:spacing w:val="-10"/>
          <w:sz w:val="19"/>
          <w:lang w:val="pl-PL"/>
        </w:rPr>
      </w:pPr>
      <w:r>
        <w:rPr>
          <w:rFonts w:ascii="Verdana" w:hAnsi="Verdana"/>
          <w:color w:val="000000"/>
          <w:spacing w:val="-10"/>
          <w:sz w:val="19"/>
          <w:lang w:val="pl-PL"/>
        </w:rPr>
      </w:r>
    </w:p>
    <w:p>
      <w:pPr>
        <w:pStyle w:val="ListParagraph"/>
        <w:spacing w:lineRule="auto" w:line="360"/>
        <w:jc w:val="both"/>
        <w:rPr>
          <w:rFonts w:ascii="Verdana" w:hAnsi="Verdana" w:cs="Verdana"/>
          <w:b/>
          <w:b/>
          <w:bCs/>
          <w:sz w:val="18"/>
          <w:szCs w:val="18"/>
          <w:lang w:val="pl-PL"/>
        </w:rPr>
      </w:pPr>
      <w:r>
        <w:rPr>
          <w:rFonts w:cs="Verdana" w:ascii="Verdana" w:hAnsi="Verdana"/>
          <w:b/>
          <w:bCs/>
          <w:sz w:val="18"/>
          <w:szCs w:val="18"/>
          <w:lang w:val="pl-PL"/>
        </w:rPr>
        <w:t xml:space="preserve">Uczestnicy przetargu składają pisemny wniosek (dostępny na stronie sk-iwno.com.pl) </w:t>
      </w:r>
    </w:p>
    <w:p>
      <w:pPr>
        <w:pStyle w:val="ListParagraph"/>
        <w:spacing w:lineRule="auto" w:line="360"/>
        <w:jc w:val="both"/>
        <w:rPr>
          <w:rFonts w:ascii="Verdana" w:hAnsi="Verdana" w:cs="Verdana"/>
          <w:b/>
          <w:b/>
          <w:bCs/>
          <w:sz w:val="18"/>
          <w:szCs w:val="18"/>
          <w:lang w:val="pl-PL"/>
        </w:rPr>
      </w:pPr>
      <w:r>
        <w:rPr>
          <w:rFonts w:cs="Verdana" w:ascii="Verdana" w:hAnsi="Verdana"/>
          <w:b/>
          <w:bCs/>
          <w:sz w:val="18"/>
          <w:szCs w:val="18"/>
          <w:lang w:val="pl-PL"/>
        </w:rPr>
        <w:t>o dopuszczenie do udziału w przetargu, na co najmniej 3 dni przed przetargiem w przeciwnym wypadku zostaną wykluczeni z postępowania przetargowego.</w:t>
      </w:r>
    </w:p>
    <w:p>
      <w:pPr>
        <w:pStyle w:val="ListParagraph"/>
        <w:spacing w:lineRule="auto" w:line="360"/>
        <w:jc w:val="both"/>
        <w:rPr>
          <w:rFonts w:ascii="Verdana" w:hAnsi="Verdana" w:cs="Verdana"/>
          <w:bCs/>
          <w:sz w:val="18"/>
          <w:szCs w:val="18"/>
          <w:lang w:val="pl-PL"/>
        </w:rPr>
      </w:pPr>
      <w:r>
        <w:rPr>
          <w:rFonts w:cs="Verdana" w:ascii="Verdana" w:hAnsi="Verdana"/>
          <w:bCs/>
          <w:sz w:val="18"/>
          <w:szCs w:val="18"/>
          <w:lang w:val="pl-PL"/>
        </w:rPr>
      </w:r>
    </w:p>
    <w:p>
      <w:pPr>
        <w:pStyle w:val="ListParagraph"/>
        <w:spacing w:lineRule="auto" w:line="360"/>
        <w:jc w:val="both"/>
        <w:rPr>
          <w:rFonts w:ascii="Verdana" w:hAnsi="Verdana" w:cs="Verdana"/>
          <w:bCs/>
          <w:sz w:val="18"/>
          <w:szCs w:val="18"/>
          <w:lang w:val="pl-PL"/>
        </w:rPr>
      </w:pPr>
      <w:r>
        <w:rPr>
          <w:rFonts w:cs="Verdana" w:ascii="Verdana" w:hAnsi="Verdana"/>
          <w:bCs/>
          <w:sz w:val="18"/>
          <w:szCs w:val="18"/>
          <w:lang w:val="pl-PL"/>
        </w:rPr>
        <w:t>Na potwierdzenie spełnienia warunków, o których mowa wyżej uczestnicy składają wraz z wnioskiem:</w:t>
      </w:r>
    </w:p>
    <w:p>
      <w:pPr>
        <w:pStyle w:val="ListParagraph"/>
        <w:spacing w:lineRule="auto" w:line="360"/>
        <w:jc w:val="both"/>
        <w:rPr>
          <w:rFonts w:ascii="Verdana" w:hAnsi="Verdana" w:cs="Verdana"/>
          <w:bCs/>
          <w:sz w:val="18"/>
          <w:szCs w:val="18"/>
          <w:lang w:val="pl-PL"/>
        </w:rPr>
      </w:pPr>
      <w:r>
        <w:rPr>
          <w:rFonts w:cs="Verdana" w:ascii="Verdana" w:hAnsi="Verdana"/>
          <w:bCs/>
          <w:sz w:val="18"/>
          <w:szCs w:val="18"/>
          <w:lang w:val="pl-PL"/>
        </w:rPr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 xml:space="preserve">a) oświadczenie zawierające: </w:t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 xml:space="preserve">- imię, nazwisko i miejsce zamieszkania albo firmę i siedzibę Oferenta, </w:t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>- datę sporządzenia oferty,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 xml:space="preserve">              </w:t>
      </w:r>
      <w:r>
        <w:rPr>
          <w:lang w:val="pl-PL"/>
        </w:rPr>
        <w:t xml:space="preserve">- oferowaną cenę za nabycie praw do Nieruchomości, nie mniejszą od Ceny wywoławczej i sposób jej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ab/>
        <w:t xml:space="preserve">   Zapłaty.</w:t>
        <w:tab/>
        <w:t xml:space="preserve">         </w:t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 xml:space="preserve">- dowód terminowego uiszczenia Wadium, </w:t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>-oświadczenie o zapoznaniu się z niniejszym Regulaminem Przetargu oraz stanem prawnym i technicznym Nieruchomości, stwierdzające ich akceptację bez zastrzeżeń,</w:t>
      </w:r>
    </w:p>
    <w:p>
      <w:pPr>
        <w:pStyle w:val="ListParagraph"/>
        <w:spacing w:lineRule="auto" w:line="360"/>
        <w:jc w:val="both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 xml:space="preserve">- dokumenty potwierdzające prawo do reprezentowania uczestnika Przetargu, w przypadku oferentów będących przedsiębiorcami - aktualny wyciąg z właściwego rejestru lub innego dokumentu urzędowego, z którego wynika status prawny oferenta, sposób reprezentacji, a także imiona i nazwiska osób uprawnionych do jego reprezentacji – wystawiony nie wcześniej, niż na trzy miesiące przed upływem terminu składania ofert, </w:t>
      </w:r>
    </w:p>
    <w:p>
      <w:pPr>
        <w:pStyle w:val="ListParagraph"/>
        <w:spacing w:lineRule="auto" w:line="360"/>
        <w:jc w:val="both"/>
        <w:rPr>
          <w:rFonts w:ascii="Verdana" w:hAnsi="Verdana" w:cs="Verdana"/>
          <w:bCs/>
          <w:sz w:val="18"/>
          <w:szCs w:val="18"/>
          <w:lang w:val="pl-PL"/>
        </w:rPr>
      </w:pPr>
      <w:r>
        <w:rPr>
          <w:lang w:val="pl-PL"/>
        </w:rPr>
        <w:t xml:space="preserve">- zaświadczenie o niezaleganiu w opłacaniu składek wydane przez Zakład Ubezpieczeń Społecznych oraz zaświadczenie o niezaleganiu w podatkach wystawione przez Urząd Skarbowy wydane nie wcześniej niż 30 dni przed datą złożenia oferty.  </w:t>
      </w:r>
    </w:p>
    <w:p>
      <w:pPr>
        <w:pStyle w:val="ListParagraph"/>
        <w:spacing w:lineRule="auto" w:line="360"/>
        <w:jc w:val="both"/>
        <w:rPr>
          <w:rFonts w:ascii="Verdana" w:hAnsi="Verdana" w:cs="Verdana"/>
          <w:bCs/>
          <w:sz w:val="18"/>
          <w:szCs w:val="18"/>
          <w:lang w:val="pl-PL"/>
        </w:rPr>
      </w:pPr>
      <w:r>
        <w:rPr>
          <w:rFonts w:cs="Verdana" w:ascii="Verdana" w:hAnsi="Verdana"/>
          <w:bCs/>
          <w:sz w:val="18"/>
          <w:szCs w:val="18"/>
          <w:lang w:val="pl-PL"/>
        </w:rPr>
      </w:r>
    </w:p>
    <w:p>
      <w:pPr>
        <w:pStyle w:val="Normal"/>
        <w:spacing w:lineRule="exact" w:line="222" w:before="324" w:after="0"/>
        <w:ind w:left="4104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</w:r>
    </w:p>
    <w:p>
      <w:pPr>
        <w:pStyle w:val="Normal"/>
        <w:spacing w:lineRule="exact" w:line="222" w:before="324" w:after="0"/>
        <w:ind w:left="4104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</w:r>
    </w:p>
    <w:p>
      <w:pPr>
        <w:pStyle w:val="Normal"/>
        <w:spacing w:lineRule="exact" w:line="222" w:before="324" w:after="0"/>
        <w:ind w:left="4104" w:hanging="0"/>
        <w:rPr>
          <w:rFonts w:ascii="Tahoma" w:hAnsi="Tahom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</w:t>
      </w:r>
      <w:r>
        <w:rPr>
          <w:rFonts w:ascii="Tahoma" w:hAnsi="Tahoma"/>
          <w:color w:val="000000"/>
          <w:sz w:val="19"/>
          <w:lang w:val="pl-PL"/>
        </w:rPr>
        <w:t>9</w:t>
      </w:r>
    </w:p>
    <w:p>
      <w:pPr>
        <w:pStyle w:val="Normal"/>
        <w:spacing w:lineRule="exact" w:line="222" w:before="324" w:after="0"/>
        <w:ind w:left="4104" w:hanging="0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</w:r>
    </w:p>
    <w:p>
      <w:pPr>
        <w:pStyle w:val="ListParagraph"/>
        <w:numPr>
          <w:ilvl w:val="0"/>
          <w:numId w:val="8"/>
        </w:numPr>
        <w:tabs>
          <w:tab w:val="clear" w:pos="708"/>
          <w:tab w:val="decimal" w:pos="1134" w:leader="none"/>
        </w:tabs>
        <w:spacing w:lineRule="auto" w:line="360" w:before="72" w:after="0"/>
        <w:ind w:left="426" w:hanging="284"/>
        <w:contextualSpacing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 xml:space="preserve">Dokumenty i oświadczenia, o których mowa w § 8 składa się w formie oryginału lub kopii </w:t>
      </w:r>
      <w:r>
        <w:rPr>
          <w:rFonts w:ascii="Verdana" w:hAnsi="Verdana"/>
          <w:color w:val="000000"/>
          <w:spacing w:val="-12"/>
          <w:sz w:val="20"/>
          <w:lang w:val="pl-PL"/>
        </w:rPr>
        <w:t>poświadczonej notarialnie.</w:t>
      </w:r>
    </w:p>
    <w:p>
      <w:pPr>
        <w:pStyle w:val="Normal"/>
        <w:numPr>
          <w:ilvl w:val="0"/>
          <w:numId w:val="8"/>
        </w:numPr>
        <w:tabs>
          <w:tab w:val="clear" w:pos="708"/>
          <w:tab w:val="decimal" w:pos="851" w:leader="none"/>
        </w:tabs>
        <w:spacing w:lineRule="auto" w:line="360" w:before="108" w:after="0"/>
        <w:ind w:left="426" w:hanging="288"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 xml:space="preserve">Jeżeli uczestnika przetargu reprezentuje inna osoba, należy dołączyć pełnomocnictwo w formie </w:t>
      </w:r>
      <w:r>
        <w:rPr>
          <w:rFonts w:ascii="Verdana" w:hAnsi="Verdana"/>
          <w:color w:val="000000"/>
          <w:spacing w:val="-13"/>
          <w:sz w:val="20"/>
          <w:lang w:val="pl-PL"/>
        </w:rPr>
        <w:t>aktu notarialnego do uczestniczenia w przetargu na zakup nieruchomości.</w:t>
      </w:r>
    </w:p>
    <w:p>
      <w:pPr>
        <w:pStyle w:val="Normal"/>
        <w:numPr>
          <w:ilvl w:val="0"/>
          <w:numId w:val="8"/>
        </w:numPr>
        <w:tabs>
          <w:tab w:val="clear" w:pos="708"/>
          <w:tab w:val="decimal" w:pos="1134" w:leader="none"/>
        </w:tabs>
        <w:spacing w:lineRule="auto" w:line="360" w:before="72" w:after="0"/>
        <w:ind w:left="426" w:hanging="288"/>
        <w:rPr>
          <w:rFonts w:ascii="Verdana" w:hAnsi="Verdana"/>
          <w:color w:val="000000"/>
          <w:spacing w:val="-15"/>
          <w:sz w:val="20"/>
          <w:lang w:val="pl-PL"/>
        </w:rPr>
      </w:pPr>
      <w:r>
        <w:rPr>
          <w:rFonts w:ascii="Verdana" w:hAnsi="Verdana"/>
          <w:color w:val="000000"/>
          <w:spacing w:val="-15"/>
          <w:sz w:val="20"/>
          <w:lang w:val="pl-PL"/>
        </w:rPr>
        <w:t xml:space="preserve">W przypadku osób prawnych — uczestnik przetargu przedkłada aktualny dokument, z którego </w:t>
      </w:r>
      <w:r>
        <w:rPr>
          <w:rFonts w:ascii="Verdana" w:hAnsi="Verdana"/>
          <w:color w:val="000000"/>
          <w:spacing w:val="-13"/>
          <w:sz w:val="20"/>
          <w:lang w:val="pl-PL"/>
        </w:rPr>
        <w:t>wynika upoważnienie dla uczestnika przetargu do reprezentowania osoby prawnej.</w:t>
      </w:r>
    </w:p>
    <w:p>
      <w:pPr>
        <w:pStyle w:val="Normal"/>
        <w:tabs>
          <w:tab w:val="clear" w:pos="708"/>
          <w:tab w:val="decimal" w:pos="1134" w:leader="none"/>
        </w:tabs>
        <w:spacing w:lineRule="auto" w:line="220" w:before="324" w:after="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ab/>
        <w:tab/>
        <w:tab/>
        <w:tab/>
        <w:tab/>
        <w:tab/>
        <w:t>§10</w:t>
      </w:r>
    </w:p>
    <w:p>
      <w:pPr>
        <w:pStyle w:val="Normal"/>
        <w:tabs>
          <w:tab w:val="clear" w:pos="708"/>
          <w:tab w:val="decimal" w:pos="1134" w:leader="none"/>
        </w:tabs>
        <w:spacing w:lineRule="auto" w:line="360" w:before="108" w:after="0"/>
        <w:ind w:left="426" w:hanging="284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20"/>
          <w:lang w:val="pl-PL"/>
        </w:rPr>
        <w:t xml:space="preserve">    </w:t>
      </w:r>
      <w:r>
        <w:rPr>
          <w:rFonts w:ascii="Verdana" w:hAnsi="Verdana"/>
          <w:color w:val="000000"/>
          <w:spacing w:val="-12"/>
          <w:sz w:val="20"/>
          <w:lang w:val="pl-PL"/>
        </w:rPr>
        <w:t xml:space="preserve">Każdy uczestnik przetargu przed przystąpieniem do przetargu zobowiązany jest do dokonania </w:t>
      </w:r>
      <w:r>
        <w:rPr>
          <w:rFonts w:ascii="Verdana" w:hAnsi="Verdana"/>
          <w:color w:val="000000"/>
          <w:spacing w:val="-13"/>
          <w:sz w:val="20"/>
          <w:lang w:val="pl-PL"/>
        </w:rPr>
        <w:t>rejestracji  i przedłożenia Komisji przetargowej:</w:t>
      </w:r>
    </w:p>
    <w:p>
      <w:pPr>
        <w:pStyle w:val="Normal"/>
        <w:numPr>
          <w:ilvl w:val="0"/>
          <w:numId w:val="9"/>
        </w:numPr>
        <w:tabs>
          <w:tab w:val="clear" w:pos="708"/>
          <w:tab w:val="decimal" w:pos="709" w:leader="none"/>
        </w:tabs>
        <w:spacing w:lineRule="auto" w:line="240" w:before="108" w:after="0"/>
        <w:ind w:left="426" w:hanging="284"/>
        <w:rPr>
          <w:rFonts w:ascii="Verdana" w:hAnsi="Verdana"/>
          <w:color w:val="000000"/>
          <w:sz w:val="20"/>
          <w:lang w:val="pl-PL"/>
        </w:rPr>
      </w:pPr>
      <w:r>
        <w:rPr>
          <w:rFonts w:ascii="Verdana" w:hAnsi="Verdana"/>
          <w:color w:val="000000"/>
          <w:sz w:val="20"/>
          <w:lang w:val="pl-PL"/>
        </w:rPr>
        <w:t>dowodu tożsamości</w:t>
      </w:r>
    </w:p>
    <w:p>
      <w:pPr>
        <w:pStyle w:val="Normal"/>
        <w:numPr>
          <w:ilvl w:val="0"/>
          <w:numId w:val="9"/>
        </w:numPr>
        <w:tabs>
          <w:tab w:val="clear" w:pos="708"/>
          <w:tab w:val="decimal" w:pos="709" w:leader="none"/>
        </w:tabs>
        <w:spacing w:lineRule="auto" w:line="360" w:before="72" w:after="0"/>
        <w:ind w:left="426" w:hanging="284"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 xml:space="preserve">jeżeli uczestnika przetargu reprezentuje inna osoba — pełnomocnictwa w formie aktu notarialnego do reprezentowania do uczestniczenia w przetargu na zakup nieruchomości </w:t>
      </w:r>
      <w:r>
        <w:rPr>
          <w:rFonts w:ascii="Verdana" w:hAnsi="Verdana"/>
          <w:color w:val="000000"/>
          <w:spacing w:val="-13"/>
          <w:sz w:val="20"/>
          <w:lang w:val="pl-PL"/>
        </w:rPr>
        <w:t xml:space="preserve">(jeżeli pełnomocnictwo dla tej osoby nie było dołączone do wniosku o dopuszczenie do </w:t>
      </w:r>
      <w:r>
        <w:rPr>
          <w:rFonts w:ascii="Verdana" w:hAnsi="Verdana"/>
          <w:color w:val="000000"/>
          <w:spacing w:val="-14"/>
          <w:sz w:val="20"/>
          <w:lang w:val="pl-PL"/>
        </w:rPr>
        <w:t>udziału w przetargu).</w:t>
      </w:r>
    </w:p>
    <w:p>
      <w:pPr>
        <w:pStyle w:val="Normal"/>
        <w:spacing w:lineRule="auto" w:line="228" w:before="324" w:after="0"/>
        <w:ind w:left="3540" w:firstLine="708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>§11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 xml:space="preserve">Przetarg odbywa się w obecności uczestników przetargu, w terminie i miejscu podanym </w:t>
      </w:r>
      <w:r>
        <w:rPr>
          <w:rFonts w:ascii="Verdana" w:hAnsi="Verdana"/>
          <w:color w:val="000000"/>
          <w:spacing w:val="-12"/>
          <w:sz w:val="20"/>
          <w:lang w:val="pl-PL"/>
        </w:rPr>
        <w:t>w ogłoszeniu o przetargu.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 xml:space="preserve">Komisja dopuszcza do udziału w przetargu tylko tych uczestników, którzy w terminie wnieśli </w:t>
      </w:r>
      <w:r>
        <w:rPr>
          <w:rFonts w:ascii="Verdana" w:hAnsi="Verdana"/>
          <w:color w:val="000000"/>
          <w:spacing w:val="-8"/>
          <w:sz w:val="20"/>
          <w:lang w:val="pl-PL"/>
        </w:rPr>
        <w:t xml:space="preserve">wadium, złożyli wniosek o dopuszczenie do udziału w przetargu wraz z wymaganymi </w:t>
      </w:r>
      <w:r>
        <w:rPr>
          <w:rFonts w:ascii="Verdana" w:hAnsi="Verdana"/>
          <w:color w:val="000000"/>
          <w:spacing w:val="-13"/>
          <w:sz w:val="20"/>
          <w:lang w:val="pl-PL"/>
        </w:rPr>
        <w:t>dokumentami i oświadczeniami oraz dokonali rejestracji.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lineRule="auto" w:line="343" w:before="72" w:after="0"/>
        <w:ind w:left="709" w:hanging="360"/>
        <w:rPr>
          <w:rFonts w:ascii="Verdana" w:hAnsi="Verdana"/>
          <w:color w:val="000000"/>
          <w:spacing w:val="-11"/>
          <w:sz w:val="20"/>
          <w:lang w:val="pl-PL"/>
        </w:rPr>
      </w:pPr>
      <w:r>
        <w:rPr>
          <w:rFonts w:ascii="Verdana" w:hAnsi="Verdana"/>
          <w:color w:val="000000"/>
          <w:spacing w:val="-11"/>
          <w:sz w:val="20"/>
          <w:lang w:val="pl-PL"/>
        </w:rPr>
        <w:t xml:space="preserve">Uczestnik przetargu, który spóźni się na otwarcie przetargu nie zostanie dopuszczony do </w:t>
      </w:r>
      <w:r>
        <w:rPr>
          <w:rFonts w:ascii="Verdana" w:hAnsi="Verdana"/>
          <w:color w:val="000000"/>
          <w:spacing w:val="-14"/>
          <w:sz w:val="20"/>
          <w:lang w:val="pl-PL"/>
        </w:rPr>
        <w:t>licytacji.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pacing w:lineRule="auto" w:line="348" w:before="108" w:after="0"/>
        <w:ind w:left="709" w:hanging="360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  <w:t xml:space="preserve">Przewodniczący komisji przetargowej może usunąć z sali, po uprzedni przywołaniu do </w:t>
      </w:r>
      <w:r>
        <w:rPr>
          <w:rFonts w:ascii="Verdana" w:hAnsi="Verdana"/>
          <w:color w:val="000000"/>
          <w:spacing w:val="-16"/>
          <w:sz w:val="20"/>
          <w:lang w:val="pl-PL"/>
        </w:rPr>
        <w:t xml:space="preserve">porządku, osoby zachowujące się w sposób naruszający porządek. Na Sali obowiązuje zakaz korzystania z telefonów komórkowych.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decimal" w:pos="432" w:leader="none"/>
        </w:tabs>
        <w:spacing w:lineRule="auto" w:line="360"/>
        <w:ind w:left="720" w:hanging="294"/>
        <w:rPr>
          <w:rFonts w:ascii="Verdana" w:hAnsi="Verdana"/>
          <w:color w:val="000000"/>
          <w:spacing w:val="-9"/>
          <w:sz w:val="19"/>
          <w:lang w:val="pl-PL"/>
        </w:rPr>
      </w:pPr>
      <w:r>
        <w:rPr>
          <w:rFonts w:ascii="Verdana" w:hAnsi="Verdana"/>
          <w:color w:val="000000"/>
          <w:spacing w:val="-9"/>
          <w:sz w:val="19"/>
          <w:lang w:val="pl-PL"/>
        </w:rPr>
        <w:t xml:space="preserve">Przewodniczący komisji przetargowej otwiera przetarg, przekazując uczestnikom przetargu </w:t>
      </w:r>
      <w:r>
        <w:rPr>
          <w:rFonts w:ascii="Verdana" w:hAnsi="Verdana"/>
          <w:color w:val="000000"/>
          <w:spacing w:val="-8"/>
          <w:sz w:val="19"/>
          <w:lang w:val="pl-PL"/>
        </w:rPr>
        <w:t xml:space="preserve">informacje, o których mowa w § 6 ust. 4, podaje do wiadomości imiona i nazwiska albo nazwy lub firmy osób, które wniosły wadium i złożyły dokumenty i oświadczenia na potwierdzenie </w:t>
      </w:r>
      <w:r>
        <w:rPr>
          <w:rFonts w:ascii="Verdana" w:hAnsi="Verdana"/>
          <w:color w:val="000000"/>
          <w:spacing w:val="-7"/>
          <w:sz w:val="19"/>
          <w:lang w:val="pl-PL"/>
        </w:rPr>
        <w:t>spełniania warunków udziału w postępowaniu oraz zostały dopuszczone do przetargu.</w:t>
      </w:r>
    </w:p>
    <w:p>
      <w:pPr>
        <w:pStyle w:val="Normal"/>
        <w:spacing w:before="396" w:after="0"/>
        <w:ind w:left="4248" w:firstLine="708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§12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3"/>
          <w:sz w:val="19"/>
          <w:lang w:val="pl-PL"/>
        </w:rPr>
      </w:pPr>
      <w:r>
        <w:rPr>
          <w:rFonts w:ascii="Verdana" w:hAnsi="Verdana"/>
          <w:color w:val="000000"/>
          <w:spacing w:val="-3"/>
          <w:sz w:val="19"/>
          <w:lang w:val="pl-PL"/>
        </w:rPr>
        <w:t xml:space="preserve">Przewodniczący komisji przetargowej informuje uczestników przetargu, że po trzecim </w:t>
      </w:r>
      <w:r>
        <w:rPr>
          <w:rFonts w:ascii="Verdana" w:hAnsi="Verdana"/>
          <w:color w:val="000000"/>
          <w:spacing w:val="-7"/>
          <w:sz w:val="19"/>
          <w:lang w:val="pl-PL"/>
        </w:rPr>
        <w:t>wywołaniu najwyższej zaoferowanej ceny dalsze postąpienia nie zostaną przyjęte.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4"/>
          <w:sz w:val="19"/>
          <w:lang w:val="pl-PL"/>
        </w:rPr>
      </w:pPr>
      <w:r>
        <w:rPr>
          <w:rFonts w:ascii="Verdana" w:hAnsi="Verdana"/>
          <w:color w:val="000000"/>
          <w:spacing w:val="-4"/>
          <w:sz w:val="19"/>
          <w:lang w:val="pl-PL"/>
        </w:rPr>
        <w:t xml:space="preserve">O wysokości postąpienia decydują uczestnicy przetargu, z tym że postąpienie nie może </w:t>
      </w:r>
      <w:r>
        <w:rPr>
          <w:rFonts w:ascii="Verdana" w:hAnsi="Verdana"/>
          <w:color w:val="000000"/>
          <w:spacing w:val="-5"/>
          <w:sz w:val="19"/>
          <w:lang w:val="pl-PL"/>
        </w:rPr>
        <w:t xml:space="preserve">wynosić mniej niż 1% ceny wywoławczej, z zaokrągleniem w górę do pełnych dziesiątek </w:t>
      </w:r>
      <w:r>
        <w:rPr>
          <w:rFonts w:ascii="Verdana" w:hAnsi="Verdana"/>
          <w:color w:val="000000"/>
          <w:spacing w:val="-10"/>
          <w:sz w:val="19"/>
          <w:lang w:val="pl-PL"/>
        </w:rPr>
        <w:t>złotych.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72" w:after="0"/>
        <w:ind w:left="709" w:hanging="360"/>
        <w:rPr>
          <w:rFonts w:ascii="Verdana" w:hAnsi="Verdana"/>
          <w:color w:val="000000"/>
          <w:spacing w:val="-8"/>
          <w:sz w:val="19"/>
          <w:lang w:val="pl-PL"/>
        </w:rPr>
      </w:pPr>
      <w:r>
        <w:rPr>
          <w:rFonts w:ascii="Verdana" w:hAnsi="Verdana"/>
          <w:color w:val="000000"/>
          <w:spacing w:val="-8"/>
          <w:sz w:val="19"/>
          <w:lang w:val="pl-PL"/>
        </w:rPr>
        <w:t>Uczestnicy przetargu zgłaszają ustnie kolejne postąpienia ceny, dopóki mimo trzykrotnego wywołania nie ma dalszych postąpień.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9"/>
          <w:sz w:val="19"/>
          <w:lang w:val="pl-PL"/>
        </w:rPr>
      </w:pPr>
      <w:r>
        <w:rPr>
          <w:rFonts w:ascii="Verdana" w:hAnsi="Verdana"/>
          <w:color w:val="000000"/>
          <w:spacing w:val="-9"/>
          <w:sz w:val="19"/>
          <w:lang w:val="pl-PL"/>
        </w:rPr>
        <w:t xml:space="preserve">Przetarg jest ważny bez względu na liczbę uczestników przetargu, jeżeli przynajmniej jeden </w:t>
      </w:r>
      <w:r>
        <w:rPr>
          <w:rFonts w:ascii="Verdana" w:hAnsi="Verdana"/>
          <w:color w:val="000000"/>
          <w:spacing w:val="-7"/>
          <w:sz w:val="19"/>
          <w:lang w:val="pl-PL"/>
        </w:rPr>
        <w:t>uczestnik zaoferował co najmniej jedno postąpienie powyżej ceny wywoławczej.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8"/>
          <w:sz w:val="19"/>
          <w:lang w:val="pl-PL"/>
        </w:rPr>
      </w:pPr>
      <w:r>
        <w:rPr>
          <w:rFonts w:ascii="Verdana" w:hAnsi="Verdana"/>
          <w:color w:val="000000"/>
          <w:spacing w:val="-8"/>
          <w:sz w:val="19"/>
          <w:lang w:val="pl-PL"/>
        </w:rPr>
        <w:t xml:space="preserve">Po ustaniu zgłaszania postąpień przewodniczący komisji przetargowej wywołuje trzykrotnie </w:t>
      </w:r>
      <w:r>
        <w:rPr>
          <w:rFonts w:ascii="Verdana" w:hAnsi="Verdana"/>
          <w:color w:val="000000"/>
          <w:spacing w:val="-6"/>
          <w:sz w:val="19"/>
          <w:lang w:val="pl-PL"/>
        </w:rPr>
        <w:t xml:space="preserve">ostatnią, najwyższą cenę i zamyka przetarg, a następnie ogłasza imię i nazwisko albo nazwę </w:t>
      </w:r>
      <w:r>
        <w:rPr>
          <w:rFonts w:ascii="Verdana" w:hAnsi="Verdana"/>
          <w:color w:val="000000"/>
          <w:spacing w:val="-8"/>
          <w:sz w:val="19"/>
          <w:lang w:val="pl-PL"/>
        </w:rPr>
        <w:t>lub firmę osoby, która przetarg wygrała.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72" w:after="0"/>
        <w:ind w:left="709" w:hanging="360"/>
        <w:rPr>
          <w:rFonts w:ascii="Verdana" w:hAnsi="Verdana"/>
          <w:color w:val="000000"/>
          <w:spacing w:val="-3"/>
          <w:sz w:val="19"/>
          <w:lang w:val="pl-PL"/>
        </w:rPr>
      </w:pPr>
      <w:r>
        <w:rPr>
          <w:rFonts w:ascii="Verdana" w:hAnsi="Verdana"/>
          <w:color w:val="000000"/>
          <w:spacing w:val="-3"/>
          <w:sz w:val="19"/>
          <w:lang w:val="pl-PL"/>
        </w:rPr>
        <w:t xml:space="preserve">Przetarg uważa się za zakończony wynikiem negatywnym, jeżeli żaden z uczestników </w:t>
      </w:r>
      <w:r>
        <w:rPr>
          <w:rFonts w:ascii="Verdana" w:hAnsi="Verdana"/>
          <w:color w:val="000000"/>
          <w:spacing w:val="-6"/>
          <w:sz w:val="19"/>
          <w:lang w:val="pl-PL"/>
        </w:rPr>
        <w:t xml:space="preserve">przetargu nie zaoferował postąpienia ponad cenę wywoławczą albo w sytuacji, gdy nikt do </w:t>
      </w:r>
      <w:r>
        <w:rPr>
          <w:rFonts w:ascii="Verdana" w:hAnsi="Verdana"/>
          <w:color w:val="000000"/>
          <w:spacing w:val="-8"/>
          <w:sz w:val="19"/>
          <w:lang w:val="pl-PL"/>
        </w:rPr>
        <w:t>niego nie przystąpił.</w:t>
      </w:r>
    </w:p>
    <w:p>
      <w:pPr>
        <w:pStyle w:val="Normal"/>
        <w:numPr>
          <w:ilvl w:val="0"/>
          <w:numId w:val="11"/>
        </w:numPr>
        <w:tabs>
          <w:tab w:val="clear" w:pos="708"/>
          <w:tab w:val="decimal" w:pos="709" w:leader="none"/>
        </w:tabs>
        <w:spacing w:lineRule="auto" w:line="360" w:before="108" w:after="0"/>
        <w:ind w:left="709" w:hanging="360"/>
        <w:rPr>
          <w:rFonts w:ascii="Verdana" w:hAnsi="Verdana"/>
          <w:color w:val="000000"/>
          <w:spacing w:val="-10"/>
          <w:sz w:val="19"/>
          <w:lang w:val="pl-PL"/>
        </w:rPr>
      </w:pPr>
      <w:r>
        <w:rPr>
          <w:rFonts w:ascii="Verdana" w:hAnsi="Verdana"/>
          <w:color w:val="000000"/>
          <w:spacing w:val="-10"/>
          <w:sz w:val="19"/>
          <w:lang w:val="pl-PL"/>
        </w:rPr>
        <w:t xml:space="preserve">Organizator może dla celów dokumentacyjnych dokonywać rejestracji przebiegu przetargu za </w:t>
      </w:r>
      <w:r>
        <w:rPr>
          <w:rFonts w:ascii="Verdana" w:hAnsi="Verdana"/>
          <w:color w:val="000000"/>
          <w:spacing w:val="-8"/>
          <w:sz w:val="19"/>
          <w:lang w:val="pl-PL"/>
        </w:rPr>
        <w:t>pomocą urządzeń utrwalających obraz i dźwięk.</w:t>
      </w:r>
    </w:p>
    <w:p>
      <w:pPr>
        <w:pStyle w:val="Normal"/>
        <w:numPr>
          <w:ilvl w:val="1"/>
          <w:numId w:val="11"/>
        </w:numPr>
        <w:spacing w:lineRule="auto" w:line="360" w:before="72" w:after="0"/>
        <w:ind w:left="426" w:hanging="283"/>
        <w:rPr>
          <w:rFonts w:ascii="Verdana" w:hAnsi="Verdana"/>
          <w:color w:val="000000"/>
          <w:spacing w:val="-5"/>
          <w:sz w:val="19"/>
          <w:lang w:val="pl-PL"/>
        </w:rPr>
      </w:pPr>
      <w:r>
        <w:rPr>
          <w:rFonts w:ascii="Verdana" w:hAnsi="Verdana"/>
          <w:color w:val="000000"/>
          <w:spacing w:val="-5"/>
          <w:sz w:val="19"/>
          <w:lang w:val="pl-PL"/>
        </w:rPr>
        <w:t xml:space="preserve">8.  Aż do momentu otwarcia przetargu, Organizator może odwołać przetarg lub zmodyfikować </w:t>
      </w:r>
      <w:r>
        <w:rPr>
          <w:rFonts w:ascii="Verdana" w:hAnsi="Verdana"/>
          <w:color w:val="000000"/>
          <w:spacing w:val="-7"/>
          <w:sz w:val="19"/>
          <w:lang w:val="pl-PL"/>
        </w:rPr>
        <w:t>jego      warunki bez żadnych roszczeń ze strony uczestników.</w:t>
      </w:r>
    </w:p>
    <w:p>
      <w:pPr>
        <w:pStyle w:val="ListParagraph"/>
        <w:numPr>
          <w:ilvl w:val="0"/>
          <w:numId w:val="19"/>
        </w:numPr>
        <w:tabs>
          <w:tab w:val="clear" w:pos="708"/>
          <w:tab w:val="decimal" w:pos="360" w:leader="none"/>
        </w:tabs>
        <w:spacing w:lineRule="auto" w:line="360" w:before="108" w:after="0"/>
        <w:contextualSpacing/>
        <w:rPr>
          <w:rFonts w:ascii="Verdana" w:hAnsi="Verdana"/>
          <w:color w:val="000000"/>
          <w:spacing w:val="-1"/>
          <w:sz w:val="19"/>
          <w:lang w:val="pl-PL"/>
        </w:rPr>
      </w:pPr>
      <w:r>
        <w:rPr>
          <w:rFonts w:ascii="Verdana" w:hAnsi="Verdana"/>
          <w:color w:val="000000"/>
          <w:spacing w:val="-1"/>
          <w:sz w:val="19"/>
          <w:lang w:val="pl-PL"/>
        </w:rPr>
        <w:t xml:space="preserve">W przypadku naruszenia przepisów prawa lub niniejszego Regulaminu, Organizator </w:t>
      </w:r>
      <w:r>
        <w:rPr>
          <w:rFonts w:ascii="Verdana" w:hAnsi="Verdana"/>
          <w:color w:val="000000"/>
          <w:spacing w:val="-13"/>
          <w:sz w:val="19"/>
          <w:lang w:val="pl-PL"/>
        </w:rPr>
        <w:t xml:space="preserve">uprawniony jest do unieważnienia przetargu aż do momentu podpisania umowy — bez żadnych </w:t>
      </w:r>
      <w:r>
        <w:rPr>
          <w:rFonts w:ascii="Verdana" w:hAnsi="Verdana"/>
          <w:color w:val="000000"/>
          <w:spacing w:val="-8"/>
          <w:sz w:val="19"/>
          <w:lang w:val="pl-PL"/>
        </w:rPr>
        <w:t>roszczeń ze strony uczestników.</w:t>
      </w:r>
    </w:p>
    <w:p>
      <w:pPr>
        <w:pStyle w:val="Normal"/>
        <w:spacing w:before="324" w:after="0"/>
        <w:ind w:left="4248" w:firstLine="708"/>
        <w:rPr>
          <w:rFonts w:ascii="Verdana" w:hAnsi="Verdana"/>
          <w:color w:val="000000"/>
          <w:sz w:val="19"/>
          <w:lang w:val="pl-PL"/>
        </w:rPr>
      </w:pPr>
      <w:r>
        <w:rPr>
          <w:rFonts w:ascii="Verdana" w:hAnsi="Verdana"/>
          <w:color w:val="000000"/>
          <w:sz w:val="19"/>
          <w:lang w:val="pl-PL"/>
        </w:rPr>
        <w:t>§13</w:t>
      </w:r>
    </w:p>
    <w:p>
      <w:pPr>
        <w:pStyle w:val="Normal"/>
        <w:numPr>
          <w:ilvl w:val="0"/>
          <w:numId w:val="12"/>
        </w:numPr>
        <w:tabs>
          <w:tab w:val="clear" w:pos="708"/>
          <w:tab w:val="decimal" w:pos="426" w:leader="none"/>
        </w:tabs>
        <w:spacing w:lineRule="auto" w:line="360" w:before="108" w:after="0"/>
        <w:ind w:left="426" w:hanging="432"/>
        <w:rPr>
          <w:rFonts w:ascii="Verdana" w:hAnsi="Verdana"/>
          <w:color w:val="000000"/>
          <w:spacing w:val="-9"/>
          <w:sz w:val="19"/>
          <w:lang w:val="pl-PL"/>
        </w:rPr>
      </w:pPr>
      <w:r>
        <w:rPr>
          <w:rFonts w:ascii="Verdana" w:hAnsi="Verdana"/>
          <w:color w:val="000000"/>
          <w:spacing w:val="-9"/>
          <w:sz w:val="19"/>
          <w:lang w:val="pl-PL"/>
        </w:rPr>
        <w:t xml:space="preserve">Skargę na czynności związane z przeprowadzeniem przetargu uczestnik przetargu składa do </w:t>
      </w:r>
      <w:r>
        <w:rPr>
          <w:rFonts w:ascii="Verdana" w:hAnsi="Verdana"/>
          <w:color w:val="000000"/>
          <w:spacing w:val="-7"/>
          <w:sz w:val="19"/>
          <w:lang w:val="pl-PL"/>
        </w:rPr>
        <w:t>Prezesa Zarządu Organizatora w terminie 7 dni od ogłoszenia wyników przetargu.</w:t>
      </w:r>
    </w:p>
    <w:p>
      <w:pPr>
        <w:pStyle w:val="Normal"/>
        <w:numPr>
          <w:ilvl w:val="0"/>
          <w:numId w:val="12"/>
        </w:numPr>
        <w:tabs>
          <w:tab w:val="clear" w:pos="708"/>
          <w:tab w:val="decimal" w:pos="426" w:leader="none"/>
        </w:tabs>
        <w:spacing w:lineRule="auto" w:line="360" w:before="72" w:after="0"/>
        <w:ind w:left="426" w:hanging="432"/>
        <w:rPr>
          <w:rFonts w:ascii="Verdana" w:hAnsi="Verdana"/>
          <w:color w:val="000000"/>
          <w:spacing w:val="-5"/>
          <w:sz w:val="19"/>
          <w:lang w:val="pl-PL"/>
        </w:rPr>
      </w:pPr>
      <w:r>
        <w:rPr>
          <w:rFonts w:ascii="Verdana" w:hAnsi="Verdana"/>
          <w:color w:val="000000"/>
          <w:spacing w:val="-5"/>
          <w:sz w:val="19"/>
          <w:lang w:val="pl-PL"/>
        </w:rPr>
        <w:t xml:space="preserve">Wniesienie skargi, o której mowa w ust. 1, wstrzymuje czynności związane ze zbyciem </w:t>
      </w:r>
      <w:r>
        <w:rPr>
          <w:rFonts w:ascii="Verdana" w:hAnsi="Verdana"/>
          <w:color w:val="000000"/>
          <w:spacing w:val="-10"/>
          <w:sz w:val="19"/>
          <w:lang w:val="pl-PL"/>
        </w:rPr>
        <w:t>nieruchomości.</w:t>
      </w:r>
    </w:p>
    <w:p>
      <w:pPr>
        <w:pStyle w:val="Normal"/>
        <w:numPr>
          <w:ilvl w:val="0"/>
          <w:numId w:val="12"/>
        </w:numPr>
        <w:tabs>
          <w:tab w:val="clear" w:pos="708"/>
          <w:tab w:val="decimal" w:pos="426" w:leader="none"/>
        </w:tabs>
        <w:spacing w:before="108" w:after="0"/>
        <w:ind w:left="426" w:hanging="432"/>
        <w:rPr>
          <w:rFonts w:ascii="Verdana" w:hAnsi="Verdana"/>
          <w:color w:val="000000"/>
          <w:spacing w:val="-3"/>
          <w:sz w:val="19"/>
          <w:lang w:val="pl-PL"/>
        </w:rPr>
      </w:pPr>
      <w:r>
        <w:rPr>
          <w:rFonts w:ascii="Verdana" w:hAnsi="Verdana"/>
          <w:color w:val="000000"/>
          <w:spacing w:val="-3"/>
          <w:sz w:val="19"/>
          <w:lang w:val="pl-PL"/>
        </w:rPr>
        <w:t>Prezes Zarządu Organizatora rozpatruje skargę w terminie 7 dni od daty jej otrzymania.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pacing w:lineRule="exact" w:line="333" w:before="108" w:after="0"/>
        <w:ind w:left="426" w:hanging="426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19"/>
          <w:lang w:val="pl-PL"/>
        </w:rPr>
        <w:t xml:space="preserve">Prezes Zarządu Organizatora może uznać skargę za zasadną i nakazać powtórzenie czynności </w:t>
      </w:r>
      <w:r>
        <w:rPr>
          <w:rFonts w:ascii="Verdana" w:hAnsi="Verdana"/>
          <w:color w:val="000000"/>
          <w:spacing w:val="-7"/>
          <w:sz w:val="19"/>
          <w:lang w:val="pl-PL"/>
        </w:rPr>
        <w:t>przetargowych lub unieważnić przetarg lub uznać skargę za niezasadną.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pacing w:lineRule="exact" w:line="333" w:before="108" w:after="0"/>
        <w:ind w:left="426" w:hanging="432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20"/>
          <w:lang w:val="pl-PL"/>
        </w:rPr>
        <w:t xml:space="preserve">Po rozpatrzeniu skargi Organizator zawiadamia skarżącego i wywiesza niezwłocznie, na okres </w:t>
      </w:r>
      <w:r>
        <w:rPr>
          <w:rFonts w:ascii="Verdana" w:hAnsi="Verdana"/>
          <w:color w:val="000000"/>
          <w:spacing w:val="-9"/>
          <w:sz w:val="20"/>
          <w:lang w:val="pl-PL"/>
        </w:rPr>
        <w:t xml:space="preserve">7 dni, w swojej siedzibie oraz zamieszcza na stronie internetowej Organizatora informację </w:t>
      </w:r>
      <w:r>
        <w:rPr>
          <w:rFonts w:ascii="Verdana" w:hAnsi="Verdana"/>
          <w:color w:val="000000"/>
          <w:spacing w:val="-13"/>
          <w:sz w:val="20"/>
          <w:lang w:val="pl-PL"/>
        </w:rPr>
        <w:t>o sposobie rozstrzygnięcia skargi.</w:t>
      </w:r>
    </w:p>
    <w:p>
      <w:pPr>
        <w:pStyle w:val="Normal"/>
        <w:numPr>
          <w:ilvl w:val="0"/>
          <w:numId w:val="13"/>
        </w:numPr>
        <w:tabs>
          <w:tab w:val="clear" w:pos="708"/>
          <w:tab w:val="decimal" w:pos="504" w:leader="none"/>
        </w:tabs>
        <w:spacing w:lineRule="exact" w:line="262" w:before="72" w:after="0"/>
        <w:ind w:left="504" w:hanging="432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  <w:t>Brak rozpatrzenia skargi w terminie określonym w ust. 3 oznacza odrzucenie skargi.</w:t>
      </w:r>
    </w:p>
    <w:p>
      <w:pPr>
        <w:pStyle w:val="Normal"/>
        <w:tabs>
          <w:tab w:val="clear" w:pos="708"/>
          <w:tab w:val="decimal" w:pos="432" w:leader="none"/>
          <w:tab w:val="decimal" w:pos="504" w:leader="none"/>
        </w:tabs>
        <w:spacing w:lineRule="exact" w:line="262" w:before="72" w:after="0"/>
        <w:ind w:left="504" w:hanging="0"/>
        <w:rPr>
          <w:rFonts w:ascii="Verdana" w:hAnsi="Verdana"/>
          <w:color w:val="000000"/>
          <w:spacing w:val="-9"/>
          <w:sz w:val="20"/>
          <w:lang w:val="pl-PL"/>
        </w:rPr>
      </w:pPr>
      <w:r>
        <w:rPr>
          <w:rFonts w:ascii="Verdana" w:hAnsi="Verdana"/>
          <w:color w:val="000000"/>
          <w:spacing w:val="-9"/>
          <w:sz w:val="20"/>
          <w:lang w:val="pl-PL"/>
        </w:rPr>
      </w:r>
    </w:p>
    <w:p>
      <w:pPr>
        <w:pStyle w:val="Normal"/>
        <w:spacing w:lineRule="exact" w:line="233" w:before="324" w:after="0"/>
        <w:ind w:left="4248" w:firstLine="708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>§14</w:t>
      </w:r>
    </w:p>
    <w:p>
      <w:pPr>
        <w:pStyle w:val="Normal"/>
        <w:spacing w:lineRule="exact" w:line="337" w:before="72" w:after="0"/>
        <w:rPr>
          <w:rFonts w:ascii="Verdana" w:hAnsi="Verdana"/>
          <w:color w:val="000000"/>
          <w:spacing w:val="-16"/>
          <w:sz w:val="20"/>
          <w:lang w:val="pl-PL"/>
        </w:rPr>
      </w:pPr>
      <w:r>
        <w:rPr>
          <w:rFonts w:ascii="Verdana" w:hAnsi="Verdana"/>
          <w:color w:val="000000"/>
          <w:spacing w:val="-16"/>
          <w:sz w:val="20"/>
          <w:lang w:val="pl-PL"/>
        </w:rPr>
        <w:t xml:space="preserve">W przypadku niezaskarżenia w wyznaczonym terminie czynności związanych z przeprowadzeniem </w:t>
      </w:r>
      <w:r>
        <w:rPr>
          <w:rFonts w:ascii="Verdana" w:hAnsi="Verdana"/>
          <w:color w:val="000000"/>
          <w:spacing w:val="-8"/>
          <w:sz w:val="20"/>
          <w:lang w:val="pl-PL"/>
        </w:rPr>
        <w:t xml:space="preserve">przetargu albo odrzucenia skargi, Organizator podaje do publicznej wiadomości, wywieszając </w:t>
      </w:r>
      <w:r>
        <w:rPr>
          <w:rFonts w:ascii="Verdana" w:hAnsi="Verdana"/>
          <w:color w:val="000000"/>
          <w:spacing w:val="-11"/>
          <w:sz w:val="20"/>
          <w:lang w:val="pl-PL"/>
        </w:rPr>
        <w:t xml:space="preserve">w swojej siedzibie, na okres 7 dni oraz na stronie internetowej, informację o wyniku przetargu, </w:t>
      </w:r>
      <w:r>
        <w:rPr>
          <w:rFonts w:ascii="Verdana" w:hAnsi="Verdana"/>
          <w:color w:val="000000"/>
          <w:spacing w:val="-14"/>
          <w:sz w:val="20"/>
          <w:lang w:val="pl-PL"/>
        </w:rPr>
        <w:t>która powinna zawierać:</w:t>
      </w:r>
    </w:p>
    <w:p>
      <w:pPr>
        <w:pStyle w:val="Normal"/>
        <w:numPr>
          <w:ilvl w:val="0"/>
          <w:numId w:val="14"/>
        </w:numPr>
        <w:tabs>
          <w:tab w:val="clear" w:pos="708"/>
          <w:tab w:val="decimal" w:pos="936" w:leader="none"/>
        </w:tabs>
        <w:spacing w:lineRule="exact" w:line="247" w:before="108" w:after="0"/>
        <w:ind w:left="936" w:hanging="432"/>
        <w:rPr>
          <w:rFonts w:ascii="Verdana" w:hAnsi="Verdana"/>
          <w:color w:val="000000"/>
          <w:spacing w:val="-7"/>
          <w:sz w:val="20"/>
          <w:lang w:val="pl-PL"/>
        </w:rPr>
      </w:pPr>
      <w:r>
        <w:rPr>
          <w:rFonts w:ascii="Verdana" w:hAnsi="Verdana"/>
          <w:color w:val="000000"/>
          <w:spacing w:val="-7"/>
          <w:sz w:val="20"/>
          <w:lang w:val="pl-PL"/>
        </w:rPr>
        <w:t>datę i miejsce oraz rodzaj przeprowadzonego przetargu;</w:t>
      </w:r>
    </w:p>
    <w:p>
      <w:pPr>
        <w:pStyle w:val="Normal"/>
        <w:numPr>
          <w:ilvl w:val="0"/>
          <w:numId w:val="14"/>
        </w:numPr>
        <w:tabs>
          <w:tab w:val="clear" w:pos="708"/>
          <w:tab w:val="decimal" w:pos="936" w:leader="none"/>
        </w:tabs>
        <w:spacing w:lineRule="exact" w:line="306" w:before="72" w:after="0"/>
        <w:ind w:left="936" w:hanging="432"/>
        <w:rPr>
          <w:rFonts w:ascii="Verdana" w:hAnsi="Verdana"/>
          <w:color w:val="000000"/>
          <w:spacing w:val="-2"/>
          <w:sz w:val="20"/>
          <w:lang w:val="pl-PL"/>
        </w:rPr>
      </w:pPr>
      <w:r>
        <w:rPr>
          <w:rFonts w:ascii="Verdana" w:hAnsi="Verdana"/>
          <w:color w:val="000000"/>
          <w:spacing w:val="-2"/>
          <w:sz w:val="20"/>
          <w:lang w:val="pl-PL"/>
        </w:rPr>
        <w:t xml:space="preserve">oznaczenie nieruchomości będącej przedmiotem przetargu według katastru </w:t>
      </w:r>
      <w:r>
        <w:rPr>
          <w:rFonts w:ascii="Verdana" w:hAnsi="Verdana"/>
          <w:color w:val="000000"/>
          <w:spacing w:val="-14"/>
          <w:sz w:val="20"/>
          <w:lang w:val="pl-PL"/>
        </w:rPr>
        <w:t>nieruchomości i księgi wieczystej;</w:t>
      </w:r>
    </w:p>
    <w:p>
      <w:pPr>
        <w:pStyle w:val="Normal"/>
        <w:numPr>
          <w:ilvl w:val="0"/>
          <w:numId w:val="14"/>
        </w:numPr>
        <w:tabs>
          <w:tab w:val="clear" w:pos="708"/>
          <w:tab w:val="decimal" w:pos="936" w:leader="none"/>
        </w:tabs>
        <w:spacing w:lineRule="exact" w:line="262" w:before="108" w:after="0"/>
        <w:ind w:left="936" w:hanging="432"/>
        <w:rPr>
          <w:rFonts w:ascii="Verdana" w:hAnsi="Verdana"/>
          <w:color w:val="000000"/>
          <w:spacing w:val="-12"/>
          <w:sz w:val="20"/>
          <w:lang w:val="pl-PL"/>
        </w:rPr>
      </w:pPr>
      <w:r>
        <w:rPr>
          <w:rFonts w:ascii="Verdana" w:hAnsi="Verdana"/>
          <w:color w:val="000000"/>
          <w:spacing w:val="-12"/>
          <w:sz w:val="20"/>
          <w:lang w:val="pl-PL"/>
        </w:rPr>
        <w:t>liczbę osób dopuszczonych oraz osób niedopuszczonych do uczestniczenia w przetargu;</w:t>
      </w:r>
    </w:p>
    <w:p>
      <w:pPr>
        <w:pStyle w:val="Normal"/>
        <w:numPr>
          <w:ilvl w:val="0"/>
          <w:numId w:val="14"/>
        </w:numPr>
        <w:tabs>
          <w:tab w:val="clear" w:pos="708"/>
          <w:tab w:val="decimal" w:pos="936" w:leader="none"/>
        </w:tabs>
        <w:spacing w:lineRule="exact" w:line="253" w:before="72" w:after="0"/>
        <w:ind w:left="936" w:hanging="432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cenę wywoławczą nieruchomości oraz najwyższą cenę osiągniętą w przetargu</w:t>
      </w:r>
    </w:p>
    <w:p>
      <w:pPr>
        <w:pStyle w:val="Normal"/>
        <w:numPr>
          <w:ilvl w:val="0"/>
          <w:numId w:val="14"/>
        </w:numPr>
        <w:tabs>
          <w:tab w:val="clear" w:pos="708"/>
          <w:tab w:val="decimal" w:pos="936" w:leader="none"/>
        </w:tabs>
        <w:spacing w:lineRule="exact" w:line="266" w:before="108" w:after="0"/>
        <w:ind w:left="936" w:hanging="432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imię, nazwisko albo nazwę lub firmę osoby ustalonej jako nabywca nieruchomości.</w:t>
      </w:r>
    </w:p>
    <w:p>
      <w:pPr>
        <w:pStyle w:val="Normal"/>
        <w:tabs>
          <w:tab w:val="clear" w:pos="708"/>
          <w:tab w:val="decimal" w:pos="432" w:leader="none"/>
          <w:tab w:val="decimal" w:pos="936" w:leader="none"/>
        </w:tabs>
        <w:spacing w:lineRule="exact" w:line="266" w:before="108" w:after="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</w:r>
    </w:p>
    <w:p>
      <w:pPr>
        <w:pStyle w:val="Normal"/>
        <w:spacing w:lineRule="exact" w:line="233" w:before="288" w:after="0"/>
        <w:ind w:left="4740" w:firstLine="216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</w:r>
    </w:p>
    <w:p>
      <w:pPr>
        <w:pStyle w:val="Normal"/>
        <w:spacing w:lineRule="exact" w:line="233" w:before="288" w:after="0"/>
        <w:ind w:left="4740" w:firstLine="216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>§15</w:t>
      </w:r>
    </w:p>
    <w:p>
      <w:pPr>
        <w:pStyle w:val="Normal"/>
        <w:numPr>
          <w:ilvl w:val="0"/>
          <w:numId w:val="15"/>
        </w:numPr>
        <w:tabs>
          <w:tab w:val="clear" w:pos="708"/>
          <w:tab w:val="decimal" w:pos="504" w:leader="none"/>
        </w:tabs>
        <w:spacing w:lineRule="exact" w:line="325" w:before="108" w:after="0"/>
        <w:ind w:left="504" w:hanging="360"/>
        <w:rPr>
          <w:rFonts w:ascii="Verdana" w:hAnsi="Verdana"/>
          <w:color w:val="000000"/>
          <w:spacing w:val="-16"/>
          <w:sz w:val="20"/>
          <w:lang w:val="pl-PL"/>
        </w:rPr>
      </w:pPr>
      <w:r>
        <w:rPr>
          <w:rFonts w:ascii="Verdana" w:hAnsi="Verdana"/>
          <w:color w:val="000000"/>
          <w:spacing w:val="-16"/>
          <w:sz w:val="20"/>
          <w:lang w:val="pl-PL"/>
        </w:rPr>
        <w:t xml:space="preserve">W terminie 14 dni od podania do publicznej wiadomości informacji, o których mowa w § 14, </w:t>
      </w:r>
      <w:r>
        <w:rPr>
          <w:rFonts w:ascii="Verdana" w:hAnsi="Verdana"/>
          <w:color w:val="000000"/>
          <w:spacing w:val="-12"/>
          <w:sz w:val="20"/>
          <w:lang w:val="pl-PL"/>
        </w:rPr>
        <w:t xml:space="preserve">osoba ustalona jako nabywca nieruchomości zawiadomi Organizatora o miejscu i terminie </w:t>
      </w:r>
      <w:r>
        <w:rPr>
          <w:rFonts w:ascii="Verdana" w:hAnsi="Verdana"/>
          <w:color w:val="000000"/>
          <w:spacing w:val="-14"/>
          <w:sz w:val="20"/>
          <w:lang w:val="pl-PL"/>
        </w:rPr>
        <w:t>zawarcia przedwstępnej umowy sprzedaży nieruchomości.</w:t>
      </w:r>
    </w:p>
    <w:p>
      <w:pPr>
        <w:pStyle w:val="Normal"/>
        <w:numPr>
          <w:ilvl w:val="0"/>
          <w:numId w:val="15"/>
        </w:numPr>
        <w:tabs>
          <w:tab w:val="clear" w:pos="708"/>
          <w:tab w:val="decimal" w:pos="504" w:leader="none"/>
        </w:tabs>
        <w:spacing w:lineRule="exact" w:line="308" w:before="72" w:after="0"/>
        <w:ind w:left="504" w:hanging="360"/>
        <w:rPr>
          <w:rFonts w:ascii="Verdana" w:hAnsi="Verdana"/>
          <w:color w:val="000000"/>
          <w:spacing w:val="-11"/>
          <w:sz w:val="20"/>
          <w:lang w:val="pl-PL"/>
        </w:rPr>
      </w:pPr>
      <w:r>
        <w:rPr>
          <w:rFonts w:ascii="Verdana" w:hAnsi="Verdana"/>
          <w:color w:val="000000"/>
          <w:spacing w:val="-11"/>
          <w:sz w:val="20"/>
          <w:lang w:val="pl-PL"/>
        </w:rPr>
        <w:t xml:space="preserve">Cena nieruchomości sprzedawanej w drodze przetargu podlega zapłacie nie później niż na </w:t>
      </w:r>
      <w:r>
        <w:rPr>
          <w:rFonts w:ascii="Verdana" w:hAnsi="Verdana"/>
          <w:color w:val="000000"/>
          <w:spacing w:val="-13"/>
          <w:sz w:val="20"/>
          <w:lang w:val="pl-PL"/>
        </w:rPr>
        <w:t>dwa dni przed zawarciem umowy przenoszącej własność.</w:t>
      </w:r>
    </w:p>
    <w:p>
      <w:pPr>
        <w:pStyle w:val="Normal"/>
        <w:numPr>
          <w:ilvl w:val="0"/>
          <w:numId w:val="15"/>
        </w:numPr>
        <w:tabs>
          <w:tab w:val="clear" w:pos="708"/>
          <w:tab w:val="decimal" w:pos="504" w:leader="none"/>
        </w:tabs>
        <w:spacing w:lineRule="exact" w:line="339" w:before="108" w:after="0"/>
        <w:ind w:left="504" w:hanging="360"/>
        <w:rPr>
          <w:rFonts w:ascii="Verdana" w:hAnsi="Verdana"/>
          <w:color w:val="000000"/>
          <w:spacing w:val="-10"/>
          <w:sz w:val="20"/>
          <w:lang w:val="pl-PL"/>
        </w:rPr>
      </w:pPr>
      <w:r>
        <w:rPr>
          <w:rFonts w:ascii="Verdana" w:hAnsi="Verdana"/>
          <w:color w:val="000000"/>
          <w:spacing w:val="-10"/>
          <w:sz w:val="20"/>
          <w:lang w:val="pl-PL"/>
        </w:rPr>
        <w:t xml:space="preserve">Jeżeli osoba ustalona jako nabywca nieruchomości nie stawi się bez usprawiedliwionej </w:t>
      </w:r>
      <w:r>
        <w:rPr>
          <w:rFonts w:ascii="Verdana" w:hAnsi="Verdana"/>
          <w:color w:val="000000"/>
          <w:spacing w:val="-14"/>
          <w:sz w:val="20"/>
          <w:lang w:val="pl-PL"/>
        </w:rPr>
        <w:t xml:space="preserve">przyczyny w miejscu i terminie podanym w zawiadomieniu, o którym mowa w ust. 1, bądź też nie wpłaci ceny nieruchomości, zgodnie z ust. 3 lub z innej przyczyny uniemożliwi podpisanie </w:t>
      </w:r>
      <w:r>
        <w:rPr>
          <w:rFonts w:ascii="Verdana" w:hAnsi="Verdana"/>
          <w:color w:val="000000"/>
          <w:spacing w:val="-12"/>
          <w:sz w:val="20"/>
          <w:lang w:val="pl-PL"/>
        </w:rPr>
        <w:t xml:space="preserve">umowy przenoszącej własność nieruchomości — Organizator może odstąpić od zawarcia </w:t>
      </w:r>
      <w:r>
        <w:rPr>
          <w:rFonts w:ascii="Verdana" w:hAnsi="Verdana"/>
          <w:color w:val="000000"/>
          <w:spacing w:val="-13"/>
          <w:sz w:val="20"/>
          <w:lang w:val="pl-PL"/>
        </w:rPr>
        <w:t>umowy, bez żadnych roszczeń ze strony osoby ustalonej jako nabywca.</w:t>
      </w:r>
    </w:p>
    <w:p>
      <w:pPr>
        <w:pStyle w:val="Normal"/>
        <w:numPr>
          <w:ilvl w:val="0"/>
          <w:numId w:val="15"/>
        </w:numPr>
        <w:tabs>
          <w:tab w:val="clear" w:pos="708"/>
          <w:tab w:val="decimal" w:pos="504" w:leader="none"/>
        </w:tabs>
        <w:spacing w:lineRule="exact" w:line="247" w:before="72" w:after="0"/>
        <w:ind w:left="504" w:hanging="360"/>
        <w:rPr>
          <w:rFonts w:ascii="Verdana" w:hAnsi="Verdana"/>
          <w:color w:val="000000"/>
          <w:spacing w:val="-8"/>
          <w:sz w:val="20"/>
          <w:lang w:val="pl-PL"/>
        </w:rPr>
      </w:pPr>
      <w:r>
        <w:rPr>
          <w:rFonts w:ascii="Verdana" w:hAnsi="Verdana"/>
          <w:color w:val="000000"/>
          <w:spacing w:val="-8"/>
          <w:sz w:val="20"/>
          <w:lang w:val="pl-PL"/>
        </w:rPr>
        <w:t>W sytuacji określonej w ust. 3, Organizator zatrzymuje wadium.</w:t>
      </w:r>
    </w:p>
    <w:p>
      <w:pPr>
        <w:pStyle w:val="Normal"/>
        <w:numPr>
          <w:ilvl w:val="0"/>
          <w:numId w:val="15"/>
        </w:numPr>
        <w:tabs>
          <w:tab w:val="clear" w:pos="708"/>
          <w:tab w:val="decimal" w:pos="504" w:leader="none"/>
        </w:tabs>
        <w:spacing w:lineRule="exact" w:line="306" w:before="108" w:after="0"/>
        <w:ind w:left="504" w:hanging="360"/>
        <w:rPr/>
      </w:pPr>
      <w:r>
        <w:rPr>
          <w:rFonts w:ascii="Verdana" w:hAnsi="Verdana"/>
          <w:color w:val="000000"/>
          <w:spacing w:val="-15"/>
          <w:sz w:val="20"/>
          <w:lang w:val="pl-PL"/>
        </w:rPr>
        <w:t xml:space="preserve">Wszelkie koszty i opłaty związane z zawarciem umowy przenoszącej własność nieruchomości </w:t>
      </w:r>
      <w:r>
        <w:rPr>
          <w:rFonts w:ascii="Verdana" w:hAnsi="Verdana"/>
          <w:color w:val="000000"/>
          <w:spacing w:val="-14"/>
          <w:sz w:val="20"/>
          <w:lang w:val="pl-PL"/>
        </w:rPr>
        <w:t>ponosi nabywca.</w:t>
      </w:r>
    </w:p>
    <w:p>
      <w:pPr>
        <w:pStyle w:val="Normal"/>
        <w:tabs>
          <w:tab w:val="clear" w:pos="708"/>
          <w:tab w:val="decimal" w:pos="360" w:leader="none"/>
          <w:tab w:val="decimal" w:pos="504" w:leader="none"/>
        </w:tabs>
        <w:spacing w:lineRule="exact" w:line="306" w:before="108" w:after="0"/>
        <w:ind w:left="504" w:hanging="0"/>
        <w:jc w:val="center"/>
        <w:rPr>
          <w:rFonts w:ascii="Verdana" w:hAnsi="Verdana"/>
          <w:color w:val="000000"/>
          <w:spacing w:val="-14"/>
          <w:sz w:val="20"/>
          <w:lang w:val="pl-PL"/>
        </w:rPr>
      </w:pPr>
      <w:r>
        <w:rPr>
          <w:rFonts w:ascii="Verdana" w:hAnsi="Verdana"/>
          <w:color w:val="000000"/>
          <w:spacing w:val="-14"/>
          <w:sz w:val="20"/>
          <w:lang w:val="pl-PL"/>
        </w:rPr>
        <w:t>§ 16</w:t>
      </w:r>
    </w:p>
    <w:p>
      <w:pPr>
        <w:pStyle w:val="Normal"/>
        <w:tabs>
          <w:tab w:val="clear" w:pos="708"/>
          <w:tab w:val="decimal" w:pos="360" w:leader="none"/>
          <w:tab w:val="decimal" w:pos="504" w:leader="none"/>
        </w:tabs>
        <w:spacing w:lineRule="exact" w:line="306" w:before="108" w:after="0"/>
        <w:ind w:left="504" w:hanging="0"/>
        <w:rPr>
          <w:rFonts w:ascii="Verdana" w:hAnsi="Verdana"/>
          <w:color w:val="000000"/>
          <w:spacing w:val="-15"/>
          <w:sz w:val="20"/>
          <w:lang w:val="pl-PL"/>
        </w:rPr>
      </w:pPr>
      <w:r>
        <w:rPr>
          <w:rFonts w:ascii="Verdana" w:hAnsi="Verdana"/>
          <w:color w:val="000000"/>
          <w:spacing w:val="-15"/>
          <w:sz w:val="20"/>
          <w:lang w:val="pl-PL"/>
        </w:rPr>
      </w:r>
    </w:p>
    <w:p>
      <w:pPr>
        <w:pStyle w:val="Annotationtext"/>
        <w:numPr>
          <w:ilvl w:val="0"/>
          <w:numId w:val="17"/>
        </w:numPr>
        <w:ind w:left="567" w:hanging="425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Organizator zastrzega sobie prawo odwołania przetargu lub jego unieważnienia bez podania przyczyn.</w:t>
      </w:r>
    </w:p>
    <w:p>
      <w:pPr>
        <w:pStyle w:val="Annotationtext"/>
        <w:rPr>
          <w:sz w:val="30"/>
          <w:szCs w:val="30"/>
          <w:lang w:val="pl-PL"/>
        </w:rPr>
      </w:pPr>
      <w:r>
        <w:rPr>
          <w:sz w:val="30"/>
          <w:szCs w:val="30"/>
          <w:lang w:val="pl-PL"/>
        </w:rPr>
      </w:r>
    </w:p>
    <w:p>
      <w:pPr>
        <w:pStyle w:val="Annotationtext"/>
        <w:jc w:val="center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     </w:t>
      </w:r>
      <w:r>
        <w:rPr>
          <w:rFonts w:ascii="Verdana" w:hAnsi="Verdana"/>
          <w:lang w:val="pl-PL"/>
        </w:rPr>
        <w:t>§ 17</w:t>
      </w:r>
    </w:p>
    <w:p>
      <w:pPr>
        <w:pStyle w:val="Annotationtext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</w:r>
    </w:p>
    <w:p>
      <w:pPr>
        <w:pStyle w:val="Annotationtext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</w:r>
    </w:p>
    <w:p>
      <w:pPr>
        <w:pStyle w:val="Annotationtext"/>
        <w:numPr>
          <w:ilvl w:val="0"/>
          <w:numId w:val="18"/>
        </w:numPr>
        <w:ind w:left="567" w:hanging="360"/>
        <w:rPr/>
      </w:pPr>
      <w:r>
        <w:rPr>
          <w:rFonts w:ascii="Verdana" w:hAnsi="Verdana"/>
          <w:lang w:val="pl-PL"/>
        </w:rPr>
        <w:t>W sprawach nieuregulowanych niniejszym Regulaminem obowiązują przepisy Kodeksu cywilneg</w:t>
      </w:r>
      <w:r>
        <w:rPr>
          <w:rFonts w:ascii="Verdana" w:hAnsi="Verdana"/>
          <w:lang w:val="pl-PL"/>
        </w:rPr>
        <w:t>o.</w:t>
      </w:r>
    </w:p>
    <w:sectPr>
      <w:type w:val="nextPage"/>
      <w:pgSz w:w="11918" w:h="16854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720" w:hanging="0"/>
      </w:pPr>
      <w:rPr>
        <w:dstrike w:val="false"/>
        <w:strike w:val="false"/>
        <w:vertAlign w:val="baseline"/>
        <w:position w:val="0"/>
        <w:sz w:val="19"/>
        <w:sz w:val="19"/>
        <w:spacing w:val="-11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10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7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13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504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8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504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5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60"/>
        </w:tabs>
        <w:ind w:left="720" w:hanging="0"/>
      </w:pPr>
      <w:rPr>
        <w:dstrike w:val="false"/>
        <w:strike w:val="false"/>
        <w:vertAlign w:val="baseline"/>
        <w:position w:val="0"/>
        <w:sz w:val="19"/>
        <w:sz w:val="19"/>
        <w:spacing w:val="10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14"/>
        <w:w w:val="100"/>
        <w:rFonts w:ascii="Verdana" w:hAnsi="Verdana" w:eastAsia="Calibri" w:cs="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0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720" w:hanging="0"/>
      </w:pPr>
      <w:rPr>
        <w:dstrike w:val="false"/>
        <w:strike w:val="false"/>
        <w:vertAlign w:val="baseline"/>
        <w:position w:val="0"/>
        <w:sz w:val="19"/>
        <w:sz w:val="19"/>
        <w:spacing w:val="-8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720" w:hanging="0"/>
      </w:pPr>
      <w:rPr>
        <w:dstrike w:val="false"/>
        <w:strike w:val="false"/>
        <w:vertAlign w:val="baseline"/>
        <w:position w:val="0"/>
        <w:sz w:val="19"/>
        <w:sz w:val="19"/>
        <w:spacing w:val="-3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432"/>
        </w:tabs>
        <w:ind w:left="720" w:hanging="0"/>
      </w:pPr>
      <w:rPr>
        <w:dstrike w:val="false"/>
        <w:strike w:val="false"/>
        <w:vertAlign w:val="baseline"/>
        <w:position w:val="0"/>
        <w:sz w:val="19"/>
        <w:sz w:val="19"/>
        <w:spacing w:val="-9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432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12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432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7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spacing w:val="-16"/>
        <w:w w:val="100"/>
        <w:rFonts w:ascii="Verdana" w:hAnsi="Verdana"/>
        <w:color w:val="000000"/>
        <w:lang w:val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9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2dda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1b66c3"/>
    <w:rPr>
      <w:rFonts w:ascii="Times New Roman" w:hAnsi="Times New Roman" w:eastAsia="Times New Roman" w:cs="Times New Roman"/>
      <w:kern w:val="2"/>
      <w:sz w:val="24"/>
      <w:szCs w:val="20"/>
      <w:lang w:val="pl-PL"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2a6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27c0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e27c0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e27c0a"/>
    <w:rPr>
      <w:b/>
      <w:bCs/>
      <w:sz w:val="20"/>
      <w:szCs w:val="20"/>
    </w:rPr>
  </w:style>
  <w:style w:type="character" w:styleId="ListLabel1">
    <w:name w:val="ListLabel 1"/>
    <w:qFormat/>
    <w:rPr>
      <w:rFonts w:ascii="Verdana" w:hAnsi="Verdana"/>
      <w:strike w:val="false"/>
      <w:dstrike w:val="false"/>
      <w:color w:val="000000"/>
      <w:spacing w:val="-11"/>
      <w:w w:val="100"/>
      <w:position w:val="0"/>
      <w:sz w:val="19"/>
      <w:sz w:val="19"/>
      <w:vertAlign w:val="baseline"/>
      <w:lang w:val="pl-PL"/>
    </w:rPr>
  </w:style>
  <w:style w:type="character" w:styleId="ListLabel2">
    <w:name w:val="ListLabel 2"/>
    <w:qFormat/>
    <w:rPr>
      <w:strike w:val="false"/>
      <w:dstrike w:val="false"/>
      <w:color w:val="000000"/>
      <w:spacing w:val="-3"/>
      <w:w w:val="100"/>
      <w:position w:val="0"/>
      <w:sz w:val="19"/>
      <w:sz w:val="19"/>
      <w:vertAlign w:val="baseline"/>
      <w:lang w:val="pl-PL"/>
    </w:rPr>
  </w:style>
  <w:style w:type="character" w:styleId="ListLabel3">
    <w:name w:val="ListLabel 3"/>
    <w:qFormat/>
    <w:rPr>
      <w:rFonts w:ascii="Verdana" w:hAnsi="Verdana"/>
      <w:strike w:val="false"/>
      <w:dstrike w:val="false"/>
      <w:color w:val="000000"/>
      <w:spacing w:val="-10"/>
      <w:w w:val="100"/>
      <w:position w:val="0"/>
      <w:sz w:val="20"/>
      <w:sz w:val="20"/>
      <w:vertAlign w:val="baseline"/>
      <w:lang w:val="pl-PL"/>
    </w:rPr>
  </w:style>
  <w:style w:type="character" w:styleId="ListLabel4">
    <w:name w:val="ListLabel 4"/>
    <w:qFormat/>
    <w:rPr>
      <w:rFonts w:ascii="Verdana" w:hAnsi="Verdana"/>
      <w:strike w:val="false"/>
      <w:dstrike w:val="false"/>
      <w:color w:val="000000"/>
      <w:spacing w:val="-7"/>
      <w:w w:val="100"/>
      <w:position w:val="0"/>
      <w:sz w:val="20"/>
      <w:sz w:val="20"/>
      <w:vertAlign w:val="baseline"/>
      <w:lang w:val="pl-PL"/>
    </w:rPr>
  </w:style>
  <w:style w:type="character" w:styleId="ListLabel5">
    <w:name w:val="ListLabel 5"/>
    <w:qFormat/>
    <w:rPr>
      <w:rFonts w:ascii="Verdana" w:hAnsi="Verdana"/>
      <w:strike w:val="false"/>
      <w:dstrike w:val="false"/>
      <w:color w:val="000000"/>
      <w:spacing w:val="-13"/>
      <w:w w:val="100"/>
      <w:position w:val="0"/>
      <w:sz w:val="20"/>
      <w:sz w:val="20"/>
      <w:vertAlign w:val="baseline"/>
      <w:lang w:val="pl-PL"/>
    </w:rPr>
  </w:style>
  <w:style w:type="character" w:styleId="ListLabel6">
    <w:name w:val="ListLabel 6"/>
    <w:qFormat/>
    <w:rPr>
      <w:rFonts w:ascii="Verdana" w:hAnsi="Verdana"/>
      <w:strike w:val="false"/>
      <w:dstrike w:val="false"/>
      <w:color w:val="000000"/>
      <w:spacing w:val="-8"/>
      <w:w w:val="100"/>
      <w:position w:val="0"/>
      <w:sz w:val="20"/>
      <w:sz w:val="20"/>
      <w:vertAlign w:val="baseline"/>
      <w:lang w:val="pl-PL"/>
    </w:rPr>
  </w:style>
  <w:style w:type="character" w:styleId="ListLabel7">
    <w:name w:val="ListLabel 7"/>
    <w:qFormat/>
    <w:rPr>
      <w:rFonts w:ascii="Verdana" w:hAnsi="Verdana"/>
      <w:strike w:val="false"/>
      <w:dstrike w:val="false"/>
      <w:color w:val="000000"/>
      <w:spacing w:val="-5"/>
      <w:w w:val="100"/>
      <w:position w:val="0"/>
      <w:sz w:val="20"/>
      <w:sz w:val="20"/>
      <w:vertAlign w:val="baseline"/>
      <w:lang w:val="pl-PL"/>
    </w:rPr>
  </w:style>
  <w:style w:type="character" w:styleId="ListLabel8">
    <w:name w:val="ListLabel 8"/>
    <w:qFormat/>
    <w:rPr>
      <w:rFonts w:ascii="Verdana" w:hAnsi="Verdana"/>
      <w:strike w:val="false"/>
      <w:dstrike w:val="false"/>
      <w:color w:val="000000"/>
      <w:spacing w:val="10"/>
      <w:w w:val="100"/>
      <w:position w:val="0"/>
      <w:sz w:val="19"/>
      <w:sz w:val="19"/>
      <w:vertAlign w:val="baseline"/>
      <w:lang w:val="pl-PL"/>
    </w:rPr>
  </w:style>
  <w:style w:type="character" w:styleId="ListLabel9">
    <w:name w:val="ListLabel 9"/>
    <w:qFormat/>
    <w:rPr>
      <w:strike w:val="false"/>
      <w:dstrike w:val="false"/>
      <w:color w:val="000000"/>
      <w:spacing w:val="-4"/>
      <w:w w:val="100"/>
      <w:position w:val="0"/>
      <w:sz w:val="19"/>
      <w:sz w:val="19"/>
      <w:vertAlign w:val="baseline"/>
      <w:lang w:val="pl-PL"/>
    </w:rPr>
  </w:style>
  <w:style w:type="character" w:styleId="ListLabel10">
    <w:name w:val="ListLabel 10"/>
    <w:qFormat/>
    <w:rPr>
      <w:strike w:val="false"/>
      <w:dstrike w:val="false"/>
      <w:color w:val="000000"/>
      <w:spacing w:val="0"/>
      <w:w w:val="100"/>
      <w:position w:val="0"/>
      <w:sz w:val="19"/>
      <w:sz w:val="19"/>
      <w:vertAlign w:val="baseline"/>
      <w:lang w:val="pl-PL"/>
    </w:rPr>
  </w:style>
  <w:style w:type="character" w:styleId="ListLabel11">
    <w:name w:val="ListLabel 11"/>
    <w:qFormat/>
    <w:rPr>
      <w:strike w:val="false"/>
      <w:dstrike w:val="false"/>
      <w:color w:val="000000"/>
      <w:spacing w:val="-11"/>
      <w:w w:val="100"/>
      <w:position w:val="0"/>
      <w:sz w:val="19"/>
      <w:sz w:val="19"/>
      <w:vertAlign w:val="baseline"/>
      <w:lang w:val="pl-PL"/>
    </w:rPr>
  </w:style>
  <w:style w:type="character" w:styleId="ListLabel12">
    <w:name w:val="ListLabel 12"/>
    <w:qFormat/>
    <w:rPr>
      <w:strike w:val="false"/>
      <w:dstrike w:val="false"/>
      <w:color w:val="000000"/>
      <w:spacing w:val="-1"/>
      <w:w w:val="100"/>
      <w:position w:val="0"/>
      <w:sz w:val="20"/>
      <w:sz w:val="20"/>
      <w:vertAlign w:val="baseline"/>
      <w:lang w:val="pl-PL"/>
    </w:rPr>
  </w:style>
  <w:style w:type="character" w:styleId="ListLabel13">
    <w:name w:val="ListLabel 13"/>
    <w:qFormat/>
    <w:rPr>
      <w:rFonts w:ascii="Verdana" w:hAnsi="Verdana" w:eastAsia="Calibri" w:cs=""/>
      <w:strike w:val="false"/>
      <w:dstrike w:val="false"/>
      <w:color w:val="000000"/>
      <w:spacing w:val="-14"/>
      <w:w w:val="100"/>
      <w:position w:val="0"/>
      <w:sz w:val="20"/>
      <w:sz w:val="20"/>
      <w:vertAlign w:val="baseline"/>
      <w:lang w:val="pl-PL"/>
    </w:rPr>
  </w:style>
  <w:style w:type="character" w:styleId="ListLabel14">
    <w:name w:val="ListLabel 14"/>
    <w:qFormat/>
    <w:rPr>
      <w:rFonts w:ascii="Verdana" w:hAnsi="Verdana"/>
      <w:strike w:val="false"/>
      <w:dstrike w:val="false"/>
      <w:color w:val="000000"/>
      <w:spacing w:val="0"/>
      <w:w w:val="100"/>
      <w:position w:val="0"/>
      <w:sz w:val="20"/>
      <w:sz w:val="20"/>
      <w:vertAlign w:val="baseline"/>
      <w:lang w:val="pl-PL"/>
    </w:rPr>
  </w:style>
  <w:style w:type="character" w:styleId="ListLabel15">
    <w:name w:val="ListLabel 15"/>
    <w:qFormat/>
    <w:rPr>
      <w:rFonts w:ascii="Verdana" w:hAnsi="Verdana"/>
      <w:strike w:val="false"/>
      <w:dstrike w:val="false"/>
      <w:color w:val="000000"/>
      <w:spacing w:val="-8"/>
      <w:w w:val="100"/>
      <w:position w:val="0"/>
      <w:sz w:val="19"/>
      <w:sz w:val="19"/>
      <w:vertAlign w:val="baseline"/>
      <w:lang w:val="pl-PL"/>
    </w:rPr>
  </w:style>
  <w:style w:type="character" w:styleId="ListLabel16">
    <w:name w:val="ListLabel 16"/>
    <w:qFormat/>
    <w:rPr>
      <w:strike w:val="false"/>
      <w:dstrike w:val="false"/>
      <w:color w:val="000000"/>
      <w:spacing w:val="-9"/>
      <w:w w:val="100"/>
      <w:position w:val="0"/>
      <w:sz w:val="19"/>
      <w:sz w:val="19"/>
      <w:vertAlign w:val="baseline"/>
      <w:lang w:val="pl-PL"/>
    </w:rPr>
  </w:style>
  <w:style w:type="character" w:styleId="ListLabel17">
    <w:name w:val="ListLabel 17"/>
    <w:qFormat/>
    <w:rPr>
      <w:rFonts w:ascii="Verdana" w:hAnsi="Verdana"/>
      <w:strike w:val="false"/>
      <w:dstrike w:val="false"/>
      <w:color w:val="000000"/>
      <w:spacing w:val="-3"/>
      <w:w w:val="100"/>
      <w:position w:val="0"/>
      <w:sz w:val="19"/>
      <w:sz w:val="19"/>
      <w:vertAlign w:val="baseline"/>
      <w:lang w:val="pl-PL"/>
    </w:rPr>
  </w:style>
  <w:style w:type="character" w:styleId="ListLabel18">
    <w:name w:val="ListLabel 18"/>
    <w:qFormat/>
    <w:rPr>
      <w:rFonts w:ascii="Verdana" w:hAnsi="Verdana"/>
      <w:strike w:val="false"/>
      <w:dstrike w:val="false"/>
      <w:color w:val="000000"/>
      <w:spacing w:val="-9"/>
      <w:w w:val="100"/>
      <w:position w:val="0"/>
      <w:sz w:val="19"/>
      <w:sz w:val="19"/>
      <w:vertAlign w:val="baseline"/>
      <w:lang w:val="pl-PL"/>
    </w:rPr>
  </w:style>
  <w:style w:type="character" w:styleId="ListLabel19">
    <w:name w:val="ListLabel 19"/>
    <w:qFormat/>
    <w:rPr>
      <w:rFonts w:ascii="Verdana" w:hAnsi="Verdana"/>
      <w:strike w:val="false"/>
      <w:dstrike w:val="false"/>
      <w:color w:val="000000"/>
      <w:spacing w:val="-12"/>
      <w:w w:val="100"/>
      <w:position w:val="0"/>
      <w:sz w:val="20"/>
      <w:sz w:val="20"/>
      <w:vertAlign w:val="baseline"/>
      <w:lang w:val="pl-PL"/>
    </w:rPr>
  </w:style>
  <w:style w:type="character" w:styleId="ListLabel20">
    <w:name w:val="ListLabel 20"/>
    <w:qFormat/>
    <w:rPr>
      <w:rFonts w:ascii="Verdana" w:hAnsi="Verdana"/>
      <w:strike w:val="false"/>
      <w:dstrike w:val="false"/>
      <w:color w:val="000000"/>
      <w:spacing w:val="-7"/>
      <w:w w:val="100"/>
      <w:position w:val="0"/>
      <w:sz w:val="20"/>
      <w:sz w:val="20"/>
      <w:vertAlign w:val="baseline"/>
      <w:lang w:val="pl-PL"/>
    </w:rPr>
  </w:style>
  <w:style w:type="character" w:styleId="ListLabel21">
    <w:name w:val="ListLabel 21"/>
    <w:qFormat/>
    <w:rPr>
      <w:rFonts w:ascii="Verdana" w:hAnsi="Verdana"/>
      <w:strike w:val="false"/>
      <w:dstrike w:val="false"/>
      <w:color w:val="000000"/>
      <w:spacing w:val="-16"/>
      <w:w w:val="100"/>
      <w:position w:val="0"/>
      <w:sz w:val="20"/>
      <w:sz w:val="20"/>
      <w:vertAlign w:val="baseline"/>
      <w:lang w:val="pl-PL"/>
    </w:rPr>
  </w:style>
  <w:style w:type="character" w:styleId="ListLabel22">
    <w:name w:val="ListLabel 22"/>
    <w:qFormat/>
    <w:rPr>
      <w:rFonts w:ascii="Verdana" w:hAnsi="Verdana"/>
      <w:strike w:val="false"/>
      <w:dstrike w:val="false"/>
      <w:color w:val="000000"/>
      <w:spacing w:val="-11"/>
      <w:w w:val="100"/>
      <w:position w:val="0"/>
      <w:sz w:val="19"/>
      <w:sz w:val="19"/>
      <w:vertAlign w:val="baseline"/>
      <w:lang w:val="pl-PL"/>
    </w:rPr>
  </w:style>
  <w:style w:type="character" w:styleId="ListLabel23">
    <w:name w:val="ListLabel 23"/>
    <w:qFormat/>
    <w:rPr>
      <w:rFonts w:ascii="Verdana" w:hAnsi="Verdana"/>
      <w:strike w:val="false"/>
      <w:dstrike w:val="false"/>
      <w:color w:val="000000"/>
      <w:spacing w:val="-10"/>
      <w:w w:val="100"/>
      <w:position w:val="0"/>
      <w:sz w:val="20"/>
      <w:sz w:val="20"/>
      <w:vertAlign w:val="baseline"/>
      <w:lang w:val="pl-PL"/>
    </w:rPr>
  </w:style>
  <w:style w:type="character" w:styleId="ListLabel24">
    <w:name w:val="ListLabel 24"/>
    <w:qFormat/>
    <w:rPr>
      <w:rFonts w:ascii="Verdana" w:hAnsi="Verdana"/>
      <w:strike w:val="false"/>
      <w:dstrike w:val="false"/>
      <w:color w:val="000000"/>
      <w:spacing w:val="-7"/>
      <w:w w:val="100"/>
      <w:position w:val="0"/>
      <w:sz w:val="20"/>
      <w:sz w:val="20"/>
      <w:vertAlign w:val="baseline"/>
      <w:lang w:val="pl-PL"/>
    </w:rPr>
  </w:style>
  <w:style w:type="character" w:styleId="ListLabel25">
    <w:name w:val="ListLabel 25"/>
    <w:qFormat/>
    <w:rPr>
      <w:rFonts w:ascii="Verdana" w:hAnsi="Verdana"/>
      <w:strike w:val="false"/>
      <w:dstrike w:val="false"/>
      <w:color w:val="000000"/>
      <w:spacing w:val="-13"/>
      <w:w w:val="100"/>
      <w:position w:val="0"/>
      <w:sz w:val="20"/>
      <w:sz w:val="20"/>
      <w:vertAlign w:val="baseline"/>
      <w:lang w:val="pl-PL"/>
    </w:rPr>
  </w:style>
  <w:style w:type="character" w:styleId="ListLabel26">
    <w:name w:val="ListLabel 26"/>
    <w:qFormat/>
    <w:rPr>
      <w:rFonts w:ascii="Verdana" w:hAnsi="Verdana"/>
      <w:strike w:val="false"/>
      <w:dstrike w:val="false"/>
      <w:color w:val="000000"/>
      <w:spacing w:val="-8"/>
      <w:w w:val="100"/>
      <w:position w:val="0"/>
      <w:sz w:val="20"/>
      <w:sz w:val="20"/>
      <w:vertAlign w:val="baseline"/>
      <w:lang w:val="pl-PL"/>
    </w:rPr>
  </w:style>
  <w:style w:type="character" w:styleId="ListLabel27">
    <w:name w:val="ListLabel 27"/>
    <w:qFormat/>
    <w:rPr>
      <w:rFonts w:ascii="Verdana" w:hAnsi="Verdana"/>
      <w:strike w:val="false"/>
      <w:dstrike w:val="false"/>
      <w:color w:val="000000"/>
      <w:spacing w:val="-5"/>
      <w:w w:val="100"/>
      <w:position w:val="0"/>
      <w:sz w:val="20"/>
      <w:sz w:val="20"/>
      <w:vertAlign w:val="baseline"/>
      <w:lang w:val="pl-PL"/>
    </w:rPr>
  </w:style>
  <w:style w:type="character" w:styleId="ListLabel28">
    <w:name w:val="ListLabel 28"/>
    <w:qFormat/>
    <w:rPr>
      <w:rFonts w:ascii="Verdana" w:hAnsi="Verdana"/>
      <w:strike w:val="false"/>
      <w:dstrike w:val="false"/>
      <w:color w:val="000000"/>
      <w:spacing w:val="10"/>
      <w:w w:val="100"/>
      <w:position w:val="0"/>
      <w:sz w:val="19"/>
      <w:sz w:val="19"/>
      <w:vertAlign w:val="baseline"/>
      <w:lang w:val="pl-PL"/>
    </w:rPr>
  </w:style>
  <w:style w:type="character" w:styleId="ListLabel29">
    <w:name w:val="ListLabel 29"/>
    <w:qFormat/>
    <w:rPr>
      <w:rFonts w:ascii="Verdana" w:hAnsi="Verdana" w:eastAsia="Calibri" w:cs=""/>
      <w:strike w:val="false"/>
      <w:dstrike w:val="false"/>
      <w:color w:val="000000"/>
      <w:spacing w:val="-14"/>
      <w:w w:val="100"/>
      <w:position w:val="0"/>
      <w:sz w:val="20"/>
      <w:sz w:val="20"/>
      <w:vertAlign w:val="baseline"/>
      <w:lang w:val="pl-PL"/>
    </w:rPr>
  </w:style>
  <w:style w:type="character" w:styleId="ListLabel30">
    <w:name w:val="ListLabel 30"/>
    <w:qFormat/>
    <w:rPr>
      <w:rFonts w:ascii="Verdana" w:hAnsi="Verdana"/>
      <w:strike w:val="false"/>
      <w:dstrike w:val="false"/>
      <w:color w:val="000000"/>
      <w:spacing w:val="0"/>
      <w:w w:val="100"/>
      <w:position w:val="0"/>
      <w:sz w:val="20"/>
      <w:sz w:val="20"/>
      <w:vertAlign w:val="baseline"/>
      <w:lang w:val="pl-PL"/>
    </w:rPr>
  </w:style>
  <w:style w:type="character" w:styleId="ListLabel31">
    <w:name w:val="ListLabel 31"/>
    <w:qFormat/>
    <w:rPr>
      <w:rFonts w:ascii="Verdana" w:hAnsi="Verdana"/>
      <w:strike w:val="false"/>
      <w:dstrike w:val="false"/>
      <w:color w:val="000000"/>
      <w:spacing w:val="-8"/>
      <w:w w:val="100"/>
      <w:position w:val="0"/>
      <w:sz w:val="19"/>
      <w:sz w:val="19"/>
      <w:vertAlign w:val="baseline"/>
      <w:lang w:val="pl-PL"/>
    </w:rPr>
  </w:style>
  <w:style w:type="character" w:styleId="ListLabel32">
    <w:name w:val="ListLabel 32"/>
    <w:qFormat/>
    <w:rPr>
      <w:rFonts w:ascii="Verdana" w:hAnsi="Verdana"/>
      <w:strike w:val="false"/>
      <w:dstrike w:val="false"/>
      <w:color w:val="000000"/>
      <w:spacing w:val="-3"/>
      <w:w w:val="100"/>
      <w:position w:val="0"/>
      <w:sz w:val="19"/>
      <w:sz w:val="19"/>
      <w:vertAlign w:val="baseline"/>
      <w:lang w:val="pl-PL"/>
    </w:rPr>
  </w:style>
  <w:style w:type="character" w:styleId="ListLabel33">
    <w:name w:val="ListLabel 33"/>
    <w:qFormat/>
    <w:rPr>
      <w:rFonts w:ascii="Verdana" w:hAnsi="Verdana"/>
      <w:strike w:val="false"/>
      <w:dstrike w:val="false"/>
      <w:color w:val="000000"/>
      <w:spacing w:val="-9"/>
      <w:w w:val="100"/>
      <w:position w:val="0"/>
      <w:sz w:val="19"/>
      <w:sz w:val="19"/>
      <w:vertAlign w:val="baseline"/>
      <w:lang w:val="pl-PL"/>
    </w:rPr>
  </w:style>
  <w:style w:type="character" w:styleId="ListLabel34">
    <w:name w:val="ListLabel 34"/>
    <w:qFormat/>
    <w:rPr>
      <w:rFonts w:ascii="Verdana" w:hAnsi="Verdana"/>
      <w:strike w:val="false"/>
      <w:dstrike w:val="false"/>
      <w:color w:val="000000"/>
      <w:spacing w:val="-12"/>
      <w:w w:val="100"/>
      <w:position w:val="0"/>
      <w:sz w:val="20"/>
      <w:sz w:val="20"/>
      <w:vertAlign w:val="baseline"/>
      <w:lang w:val="pl-PL"/>
    </w:rPr>
  </w:style>
  <w:style w:type="character" w:styleId="ListLabel35">
    <w:name w:val="ListLabel 35"/>
    <w:qFormat/>
    <w:rPr>
      <w:rFonts w:ascii="Verdana" w:hAnsi="Verdana"/>
      <w:strike w:val="false"/>
      <w:dstrike w:val="false"/>
      <w:color w:val="000000"/>
      <w:spacing w:val="-7"/>
      <w:w w:val="100"/>
      <w:position w:val="0"/>
      <w:sz w:val="20"/>
      <w:sz w:val="20"/>
      <w:vertAlign w:val="baseline"/>
      <w:lang w:val="pl-PL"/>
    </w:rPr>
  </w:style>
  <w:style w:type="character" w:styleId="ListLabel36">
    <w:name w:val="ListLabel 36"/>
    <w:qFormat/>
    <w:rPr>
      <w:rFonts w:ascii="Verdana" w:hAnsi="Verdana"/>
      <w:strike w:val="false"/>
      <w:dstrike w:val="false"/>
      <w:color w:val="000000"/>
      <w:spacing w:val="-16"/>
      <w:w w:val="100"/>
      <w:position w:val="0"/>
      <w:sz w:val="20"/>
      <w:sz w:val="20"/>
      <w:vertAlign w:val="baseline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b66c3"/>
    <w:pPr>
      <w:suppressAutoHyphens w:val="true"/>
      <w:jc w:val="both"/>
    </w:pPr>
    <w:rPr>
      <w:rFonts w:ascii="Times New Roman" w:hAnsi="Times New Roman" w:eastAsia="Times New Roman" w:cs="Times New Roman"/>
      <w:kern w:val="2"/>
      <w:sz w:val="24"/>
      <w:szCs w:val="20"/>
      <w:lang w:val="pl-PL"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a3be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2a66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27c0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27c0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9C56-D38F-4871-B3EB-9E5D61B9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LibreOffice/6.1.3.2$Windows_x86 LibreOffice_project/86daf60bf00efa86ad547e59e09d6bb77c699acb</Application>
  <Pages>7</Pages>
  <Words>1807</Words>
  <Characters>11769</Characters>
  <CharactersWithSpaces>13490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2020-01-23T09:20:00Z</dcterms:created>
  <dc:creator>Damian Kupś</dc:creator>
  <dc:description/>
  <dc:language>pl-PL</dc:language>
  <cp:lastModifiedBy/>
  <cp:lastPrinted>2020-01-23T09:23:00Z</cp:lastPrinted>
  <dcterms:modified xsi:type="dcterms:W3CDTF">2021-03-01T13:06:16Z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